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insoku/>
        <w:overflowPunct w:val="0"/>
        <w:spacing w:line="579" w:lineRule="exact"/>
        <w:rPr>
          <w:color w:val="auto"/>
        </w:rPr>
      </w:pPr>
    </w:p>
    <w:p>
      <w:pPr>
        <w:pStyle w:val="5"/>
        <w:kinsoku/>
        <w:overflowPunct w:val="0"/>
        <w:spacing w:line="579" w:lineRule="exact"/>
        <w:rPr>
          <w:color w:val="auto"/>
        </w:rPr>
      </w:pPr>
    </w:p>
    <w:p>
      <w:pPr>
        <w:pStyle w:val="5"/>
        <w:kinsoku/>
        <w:overflowPunct w:val="0"/>
        <w:spacing w:line="579" w:lineRule="exact"/>
        <w:rPr>
          <w:color w:val="auto"/>
        </w:rPr>
      </w:pPr>
    </w:p>
    <w:p>
      <w:pPr>
        <w:pStyle w:val="5"/>
        <w:kinsoku/>
        <w:overflowPunct w:val="0"/>
        <w:spacing w:line="579" w:lineRule="exact"/>
        <w:rPr>
          <w:color w:val="auto"/>
        </w:rPr>
      </w:pPr>
    </w:p>
    <w:p>
      <w:pPr>
        <w:pStyle w:val="5"/>
        <w:kinsoku/>
        <w:overflowPunct w:val="0"/>
        <w:spacing w:line="579" w:lineRule="exact"/>
        <w:rPr>
          <w:color w:val="auto"/>
        </w:rPr>
      </w:pPr>
    </w:p>
    <w:p>
      <w:pPr>
        <w:pStyle w:val="5"/>
        <w:kinsoku/>
        <w:overflowPunct w:val="0"/>
        <w:spacing w:line="579" w:lineRule="exact"/>
        <w:rPr>
          <w:color w:val="auto"/>
        </w:rPr>
      </w:pPr>
    </w:p>
    <w:p>
      <w:pPr>
        <w:kinsoku/>
        <w:overflowPunct w:val="0"/>
        <w:spacing w:line="579" w:lineRule="exact"/>
        <w:jc w:val="center"/>
        <w:rPr>
          <w:rFonts w:hint="eastAsia" w:ascii="方正小标宋简体" w:hAnsi="方正小标宋简体" w:eastAsia="方正小标宋简体" w:cs="方正小标宋简体"/>
          <w:color w:val="auto"/>
          <w:spacing w:val="-7"/>
          <w:sz w:val="52"/>
          <w:szCs w:val="52"/>
          <w:lang w:eastAsia="zh-CN"/>
        </w:rPr>
      </w:pPr>
      <w:r>
        <w:rPr>
          <w:rFonts w:hint="eastAsia" w:ascii="方正小标宋简体" w:hAnsi="方正小标宋简体" w:eastAsia="方正小标宋简体" w:cs="方正小标宋简体"/>
          <w:color w:val="auto"/>
          <w:spacing w:val="-7"/>
          <w:sz w:val="52"/>
          <w:szCs w:val="52"/>
          <w:lang w:eastAsia="zh-CN"/>
        </w:rPr>
        <w:t>四川省中型灌区信息化建设技术指南（试行）</w:t>
      </w: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pStyle w:val="5"/>
        <w:kinsoku/>
        <w:overflowPunct w:val="0"/>
        <w:spacing w:line="579" w:lineRule="exact"/>
        <w:rPr>
          <w:color w:val="auto"/>
          <w:lang w:eastAsia="zh-CN"/>
        </w:rPr>
      </w:pPr>
    </w:p>
    <w:p>
      <w:pPr>
        <w:kinsoku/>
        <w:overflowPunct w:val="0"/>
        <w:spacing w:line="579" w:lineRule="exact"/>
        <w:jc w:val="center"/>
        <w:rPr>
          <w:rFonts w:ascii="Times New Roman" w:hAnsi="Times New Roman" w:eastAsia="黑体" w:cs="Times New Roman"/>
          <w:color w:val="auto"/>
          <w:spacing w:val="5"/>
          <w:sz w:val="40"/>
          <w:szCs w:val="40"/>
          <w:lang w:eastAsia="zh-CN"/>
        </w:rPr>
      </w:pPr>
      <w:r>
        <w:rPr>
          <w:rFonts w:ascii="Times New Roman" w:hAnsi="Times New Roman" w:eastAsia="黑体" w:cs="Times New Roman"/>
          <w:color w:val="auto"/>
          <w:spacing w:val="5"/>
          <w:sz w:val="40"/>
          <w:szCs w:val="40"/>
          <w:lang w:eastAsia="zh-CN"/>
        </w:rPr>
        <w:t>四川省水利厅</w:t>
      </w:r>
    </w:p>
    <w:p>
      <w:pPr>
        <w:kinsoku/>
        <w:overflowPunct w:val="0"/>
        <w:spacing w:line="579" w:lineRule="exact"/>
        <w:jc w:val="center"/>
        <w:rPr>
          <w:rFonts w:ascii="Times New Roman" w:hAnsi="Times New Roman" w:eastAsia="黑体" w:cs="Times New Roman"/>
          <w:color w:val="auto"/>
          <w:spacing w:val="5"/>
          <w:sz w:val="40"/>
          <w:szCs w:val="40"/>
          <w:lang w:eastAsia="zh-CN"/>
        </w:rPr>
        <w:sectPr>
          <w:footerReference r:id="rId3" w:type="default"/>
          <w:pgSz w:w="11907" w:h="16839"/>
          <w:pgMar w:top="1431" w:right="1785" w:bottom="0" w:left="1785" w:header="0" w:footer="0" w:gutter="0"/>
          <w:pgNumType w:fmt="numberInDash"/>
          <w:cols w:space="720" w:num="1"/>
        </w:sectPr>
      </w:pPr>
      <w:r>
        <w:rPr>
          <w:rFonts w:ascii="Times New Roman" w:hAnsi="Times New Roman" w:eastAsia="黑体" w:cs="Times New Roman"/>
          <w:color w:val="auto"/>
          <w:spacing w:val="5"/>
          <w:sz w:val="40"/>
          <w:szCs w:val="40"/>
          <w:lang w:eastAsia="zh-CN"/>
        </w:rPr>
        <w:t>2024年</w:t>
      </w:r>
      <w:r>
        <w:rPr>
          <w:rFonts w:hint="eastAsia" w:ascii="Times New Roman" w:hAnsi="Times New Roman" w:eastAsia="黑体" w:cs="Times New Roman"/>
          <w:color w:val="auto"/>
          <w:spacing w:val="5"/>
          <w:sz w:val="40"/>
          <w:szCs w:val="40"/>
          <w:lang w:val="en-US" w:eastAsia="zh-CN"/>
        </w:rPr>
        <w:t>8</w:t>
      </w:r>
      <w:r>
        <w:rPr>
          <w:rFonts w:ascii="Times New Roman" w:hAnsi="Times New Roman" w:eastAsia="黑体" w:cs="Times New Roman"/>
          <w:color w:val="auto"/>
          <w:spacing w:val="5"/>
          <w:sz w:val="40"/>
          <w:szCs w:val="40"/>
          <w:lang w:eastAsia="zh-CN"/>
        </w:rPr>
        <w:t>月</w:t>
      </w:r>
    </w:p>
    <w:sdt>
      <w:sdtPr>
        <w:rPr>
          <w:rFonts w:ascii="Arial" w:hAnsi="Arial" w:eastAsia="Arial" w:cs="Arial"/>
          <w:snapToGrid w:val="0"/>
          <w:color w:val="auto"/>
          <w:sz w:val="21"/>
          <w:szCs w:val="21"/>
          <w:lang w:val="zh-CN" w:eastAsia="en-US"/>
        </w:rPr>
        <w:id w:val="-1"/>
        <w:docPartObj>
          <w:docPartGallery w:val="Table of Contents"/>
          <w:docPartUnique/>
        </w:docPartObj>
      </w:sdtPr>
      <w:sdtEndPr>
        <w:rPr>
          <w:rFonts w:ascii="Arial" w:hAnsi="Arial" w:eastAsia="Arial" w:cs="Arial"/>
          <w:snapToGrid w:val="0"/>
          <w:color w:val="auto"/>
          <w:sz w:val="21"/>
          <w:szCs w:val="21"/>
          <w:lang w:val="zh-CN" w:eastAsia="en-US"/>
        </w:rPr>
      </w:sdtEndPr>
      <w:sdtContent>
        <w:p>
          <w:pPr>
            <w:pStyle w:val="24"/>
            <w:jc w:val="center"/>
            <w:rPr>
              <w:rFonts w:ascii="仿宋_GB2312" w:eastAsia="仿宋_GB2312"/>
              <w:color w:val="auto"/>
            </w:rPr>
          </w:pPr>
          <w:r>
            <w:rPr>
              <w:rFonts w:hint="eastAsia" w:ascii="仿宋_GB2312" w:eastAsia="仿宋_GB2312"/>
              <w:color w:val="auto"/>
              <w:lang w:val="zh-CN"/>
            </w:rPr>
            <w:t>目 录</w:t>
          </w:r>
        </w:p>
        <w:p>
          <w:pPr>
            <w:pStyle w:val="10"/>
            <w:tabs>
              <w:tab w:val="right" w:leader="dot" w:pos="8337"/>
            </w:tabs>
          </w:pPr>
          <w:r>
            <w:rPr>
              <w:rFonts w:hint="eastAsia" w:ascii="仿宋_GB2312" w:eastAsia="仿宋_GB2312"/>
              <w:color w:val="auto"/>
              <w:sz w:val="28"/>
              <w:szCs w:val="28"/>
            </w:rPr>
            <w:fldChar w:fldCharType="begin"/>
          </w:r>
          <w:r>
            <w:rPr>
              <w:rFonts w:hint="eastAsia" w:ascii="仿宋_GB2312" w:eastAsia="仿宋_GB2312"/>
              <w:color w:val="auto"/>
              <w:sz w:val="28"/>
              <w:szCs w:val="28"/>
            </w:rPr>
            <w:instrText xml:space="preserve"> TOC \o "1-3" \h \z \u </w:instrText>
          </w:r>
          <w:r>
            <w:rPr>
              <w:rFonts w:hint="eastAsia" w:ascii="仿宋_GB2312" w:eastAsia="仿宋_GB2312"/>
              <w:color w:val="auto"/>
              <w:sz w:val="28"/>
              <w:szCs w:val="28"/>
            </w:rPr>
            <w:fldChar w:fldCharType="separate"/>
          </w: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_Toc221065222 </w:instrText>
          </w:r>
          <w:r>
            <w:rPr>
              <w:rFonts w:hint="eastAsia" w:ascii="仿宋_GB2312" w:eastAsia="仿宋_GB2312"/>
              <w:szCs w:val="28"/>
              <w:lang w:val="zh-CN"/>
            </w:rPr>
            <w:fldChar w:fldCharType="separate"/>
          </w:r>
          <w:r>
            <w:rPr>
              <w:rFonts w:hint="default" w:ascii="宋体" w:hAnsi="宋体" w:eastAsia="宋体" w:cs="宋体"/>
              <w:snapToGrid/>
              <w:lang w:eastAsia="zh-CN"/>
            </w:rPr>
            <w:t xml:space="preserve">1 </w:t>
          </w:r>
          <w:r>
            <w:rPr>
              <w:rFonts w:hint="eastAsia" w:ascii="Times New Roman" w:hAnsi="Times New Roman" w:eastAsia="黑体" w:cs="Times New Roman"/>
              <w:snapToGrid/>
              <w:lang w:eastAsia="zh-CN"/>
            </w:rPr>
            <w:t>总则</w:t>
          </w:r>
          <w:r>
            <w:tab/>
          </w:r>
          <w:r>
            <w:fldChar w:fldCharType="begin"/>
          </w:r>
          <w:r>
            <w:instrText xml:space="preserve"> PAGEREF _Toc221065222 \h </w:instrText>
          </w:r>
          <w:r>
            <w:fldChar w:fldCharType="separate"/>
          </w:r>
          <w:r>
            <w:t>- 1 -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_Toc1302995072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1.1  编制目的</w:t>
          </w:r>
          <w:r>
            <w:tab/>
          </w:r>
          <w:r>
            <w:fldChar w:fldCharType="begin"/>
          </w:r>
          <w:r>
            <w:instrText xml:space="preserve"> PAGEREF _Toc1302995072 \h </w:instrText>
          </w:r>
          <w:r>
            <w:fldChar w:fldCharType="separate"/>
          </w:r>
          <w:r>
            <w:t>- 1 -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_Toc518665464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1.2  适用范围</w:t>
          </w:r>
          <w:r>
            <w:tab/>
          </w:r>
          <w:r>
            <w:fldChar w:fldCharType="begin"/>
          </w:r>
          <w:r>
            <w:instrText xml:space="preserve"> PAGEREF _Toc518665464 \h </w:instrText>
          </w:r>
          <w:r>
            <w:fldChar w:fldCharType="separate"/>
          </w:r>
          <w:r>
            <w:t>- 1 -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_Toc894895222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1.3  建设原则</w:t>
          </w:r>
          <w:r>
            <w:tab/>
          </w:r>
          <w:r>
            <w:fldChar w:fldCharType="begin"/>
          </w:r>
          <w:r>
            <w:instrText xml:space="preserve"> PAGEREF _Toc894895222 \h </w:instrText>
          </w:r>
          <w:r>
            <w:fldChar w:fldCharType="separate"/>
          </w:r>
          <w:r>
            <w:t>- 1 -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_Toc1563563460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1.</w:t>
          </w:r>
          <w:r>
            <w:rPr>
              <w:rFonts w:hint="eastAsia" w:ascii="楷体_GB2312" w:hAnsi="楷体_GB2312" w:eastAsia="楷体_GB2312" w:cs="楷体_GB2312"/>
              <w:bCs w:val="0"/>
              <w:snapToGrid/>
              <w:kern w:val="2"/>
              <w:lang w:val="en-US" w:eastAsia="zh-CN"/>
            </w:rPr>
            <w:t>4</w:t>
          </w:r>
          <w:r>
            <w:rPr>
              <w:rFonts w:hint="eastAsia" w:ascii="楷体_GB2312" w:hAnsi="楷体_GB2312" w:eastAsia="楷体_GB2312" w:cs="楷体_GB2312"/>
              <w:bCs w:val="0"/>
              <w:snapToGrid/>
              <w:kern w:val="2"/>
              <w:lang w:eastAsia="zh-CN"/>
            </w:rPr>
            <w:t xml:space="preserve">  编制依据</w:t>
          </w:r>
          <w:r>
            <w:tab/>
          </w:r>
          <w:r>
            <w:fldChar w:fldCharType="begin"/>
          </w:r>
          <w:r>
            <w:instrText xml:space="preserve"> PAGEREF _Toc1563563460 \h </w:instrText>
          </w:r>
          <w:r>
            <w:fldChar w:fldCharType="separate"/>
          </w:r>
          <w:r>
            <w:t>- 2 -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_Toc379795327 </w:instrText>
          </w:r>
          <w:r>
            <w:rPr>
              <w:rFonts w:hint="eastAsia" w:ascii="仿宋_GB2312" w:eastAsia="仿宋_GB2312"/>
              <w:szCs w:val="28"/>
              <w:lang w:val="zh-CN"/>
            </w:rPr>
            <w:fldChar w:fldCharType="separate"/>
          </w:r>
          <w:r>
            <w:rPr>
              <w:rFonts w:hint="default" w:ascii="宋体" w:hAnsi="宋体" w:eastAsia="宋体" w:cs="宋体"/>
              <w:snapToGrid/>
              <w:lang w:eastAsia="zh-CN"/>
            </w:rPr>
            <w:t xml:space="preserve">2 </w:t>
          </w:r>
          <w:r>
            <w:rPr>
              <w:rFonts w:hint="eastAsia" w:ascii="Times New Roman" w:hAnsi="Times New Roman" w:eastAsia="黑体" w:cs="Times New Roman"/>
              <w:snapToGrid/>
              <w:lang w:eastAsia="zh-CN"/>
            </w:rPr>
            <w:t>总体架构</w:t>
          </w:r>
          <w:r>
            <w:tab/>
          </w:r>
          <w:r>
            <w:fldChar w:fldCharType="begin"/>
          </w:r>
          <w:r>
            <w:instrText xml:space="preserve"> PAGEREF _Toc379795327 \h </w:instrText>
          </w:r>
          <w:r>
            <w:fldChar w:fldCharType="separate"/>
          </w:r>
          <w:r>
            <w:t>- 5 -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_Toc1045319163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val="en-US" w:eastAsia="zh-CN"/>
            </w:rPr>
            <w:t>2</w:t>
          </w:r>
          <w:r>
            <w:rPr>
              <w:rFonts w:hint="eastAsia" w:ascii="楷体_GB2312" w:hAnsi="楷体_GB2312" w:eastAsia="楷体_GB2312" w:cs="楷体_GB2312"/>
              <w:bCs w:val="0"/>
              <w:snapToGrid/>
              <w:kern w:val="2"/>
              <w:lang w:eastAsia="zh-CN"/>
            </w:rPr>
            <w:t>.</w:t>
          </w:r>
          <w:r>
            <w:rPr>
              <w:rFonts w:hint="eastAsia" w:ascii="楷体_GB2312" w:hAnsi="楷体_GB2312" w:eastAsia="楷体_GB2312" w:cs="楷体_GB2312"/>
              <w:bCs w:val="0"/>
              <w:snapToGrid/>
              <w:kern w:val="2"/>
              <w:lang w:val="en-US" w:eastAsia="zh-CN"/>
            </w:rPr>
            <w:t>1</w:t>
          </w:r>
          <w:r>
            <w:rPr>
              <w:rFonts w:hint="eastAsia" w:ascii="楷体_GB2312" w:hAnsi="楷体_GB2312" w:eastAsia="楷体_GB2312" w:cs="楷体_GB2312"/>
              <w:bCs w:val="0"/>
              <w:snapToGrid/>
              <w:kern w:val="2"/>
              <w:lang w:eastAsia="zh-CN"/>
            </w:rPr>
            <w:t xml:space="preserve">  总体框架</w:t>
          </w:r>
          <w:r>
            <w:tab/>
          </w:r>
          <w:r>
            <w:fldChar w:fldCharType="begin"/>
          </w:r>
          <w:r>
            <w:instrText xml:space="preserve"> PAGEREF _Toc1045319163 \h </w:instrText>
          </w:r>
          <w:r>
            <w:fldChar w:fldCharType="separate"/>
          </w:r>
          <w:r>
            <w:t>- 5 -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_Toc1526045823 </w:instrText>
          </w:r>
          <w:r>
            <w:rPr>
              <w:rFonts w:hint="eastAsia" w:ascii="仿宋_GB2312" w:eastAsia="仿宋_GB2312"/>
              <w:szCs w:val="28"/>
              <w:lang w:val="zh-CN"/>
            </w:rPr>
            <w:fldChar w:fldCharType="separate"/>
          </w:r>
          <w:r>
            <w:rPr>
              <w:rFonts w:hint="eastAsia" w:ascii="楷体_GB2312" w:hAnsi="楷体_GB2312" w:eastAsia="楷体_GB2312" w:cs="楷体_GB2312"/>
              <w:snapToGrid/>
              <w:kern w:val="2"/>
              <w:szCs w:val="32"/>
              <w:lang w:eastAsia="zh-CN"/>
            </w:rPr>
            <w:t>2.</w:t>
          </w:r>
          <w:r>
            <w:rPr>
              <w:rFonts w:hint="eastAsia" w:ascii="楷体_GB2312" w:hAnsi="楷体_GB2312" w:eastAsia="楷体_GB2312" w:cs="楷体_GB2312"/>
              <w:snapToGrid/>
              <w:kern w:val="2"/>
              <w:szCs w:val="32"/>
              <w:lang w:val="en-US" w:eastAsia="zh-CN"/>
            </w:rPr>
            <w:t xml:space="preserve">2  </w:t>
          </w:r>
          <w:r>
            <w:rPr>
              <w:rFonts w:hint="eastAsia" w:ascii="楷体_GB2312" w:hAnsi="楷体_GB2312" w:eastAsia="楷体_GB2312" w:cs="楷体_GB2312"/>
              <w:snapToGrid/>
              <w:kern w:val="2"/>
              <w:szCs w:val="32"/>
              <w:lang w:eastAsia="zh-CN"/>
            </w:rPr>
            <w:t>建设分级</w:t>
          </w:r>
          <w:r>
            <w:tab/>
          </w:r>
          <w:r>
            <w:fldChar w:fldCharType="begin"/>
          </w:r>
          <w:r>
            <w:instrText xml:space="preserve"> PAGEREF _Toc1526045823 \h </w:instrText>
          </w:r>
          <w:r>
            <w:fldChar w:fldCharType="separate"/>
          </w:r>
          <w:r>
            <w:t>- 5 -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_Toc1513387943 </w:instrText>
          </w:r>
          <w:r>
            <w:rPr>
              <w:rFonts w:hint="eastAsia" w:ascii="仿宋_GB2312" w:eastAsia="仿宋_GB2312"/>
              <w:szCs w:val="28"/>
              <w:lang w:val="zh-CN"/>
            </w:rPr>
            <w:fldChar w:fldCharType="separate"/>
          </w:r>
          <w:r>
            <w:rPr>
              <w:rFonts w:hint="eastAsia" w:ascii="楷体_GB2312" w:hAnsi="楷体_GB2312" w:eastAsia="楷体_GB2312" w:cs="楷体_GB2312"/>
              <w:snapToGrid/>
              <w:kern w:val="2"/>
              <w:lang w:eastAsia="zh-CN"/>
            </w:rPr>
            <w:t>2.</w:t>
          </w:r>
          <w:r>
            <w:rPr>
              <w:rFonts w:hint="eastAsia" w:ascii="楷体_GB2312" w:hAnsi="楷体_GB2312" w:eastAsia="楷体_GB2312" w:cs="楷体_GB2312"/>
              <w:snapToGrid/>
              <w:kern w:val="2"/>
              <w:lang w:val="en-US" w:eastAsia="zh-CN"/>
            </w:rPr>
            <w:t xml:space="preserve">3  </w:t>
          </w:r>
          <w:r>
            <w:rPr>
              <w:rFonts w:hint="eastAsia" w:ascii="楷体_GB2312" w:hAnsi="楷体_GB2312" w:eastAsia="楷体_GB2312" w:cs="楷体_GB2312"/>
              <w:snapToGrid/>
              <w:kern w:val="2"/>
              <w:lang w:eastAsia="zh-CN"/>
            </w:rPr>
            <w:t>总体要求</w:t>
          </w:r>
          <w:r>
            <w:tab/>
          </w:r>
          <w:r>
            <w:fldChar w:fldCharType="begin"/>
          </w:r>
          <w:r>
            <w:instrText xml:space="preserve"> PAGEREF _Toc1513387943 \h </w:instrText>
          </w:r>
          <w:r>
            <w:fldChar w:fldCharType="separate"/>
          </w:r>
          <w:r>
            <w:t>- 6 -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_Toc523797929 </w:instrText>
          </w:r>
          <w:r>
            <w:rPr>
              <w:rFonts w:hint="eastAsia" w:ascii="仿宋_GB2312" w:eastAsia="仿宋_GB2312"/>
              <w:szCs w:val="28"/>
              <w:lang w:val="zh-CN"/>
            </w:rPr>
            <w:fldChar w:fldCharType="separate"/>
          </w:r>
          <w:r>
            <w:rPr>
              <w:rFonts w:hint="default" w:ascii="宋体" w:hAnsi="宋体" w:eastAsia="宋体" w:cs="宋体"/>
              <w:snapToGrid/>
              <w:lang w:eastAsia="zh-CN"/>
            </w:rPr>
            <w:t xml:space="preserve">3 </w:t>
          </w:r>
          <w:r>
            <w:rPr>
              <w:rFonts w:hint="eastAsia" w:ascii="Times New Roman" w:hAnsi="Times New Roman" w:eastAsia="黑体" w:cs="Times New Roman"/>
              <w:snapToGrid/>
              <w:lang w:eastAsia="zh-CN"/>
            </w:rPr>
            <w:t>立体感知体系</w:t>
          </w:r>
          <w:r>
            <w:tab/>
          </w:r>
          <w:r>
            <w:fldChar w:fldCharType="begin"/>
          </w:r>
          <w:r>
            <w:instrText xml:space="preserve"> PAGEREF _Toc523797929 \h </w:instrText>
          </w:r>
          <w:r>
            <w:fldChar w:fldCharType="separate"/>
          </w:r>
          <w:r>
            <w:t>- 8 -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_Toc1039698215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3.1  一般要求</w:t>
          </w:r>
          <w:r>
            <w:tab/>
          </w:r>
          <w:r>
            <w:fldChar w:fldCharType="begin"/>
          </w:r>
          <w:r>
            <w:instrText xml:space="preserve"> PAGEREF _Toc1039698215 \h </w:instrText>
          </w:r>
          <w:r>
            <w:fldChar w:fldCharType="separate"/>
          </w:r>
          <w:r>
            <w:t>- 8 -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_Toc1912709650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3.2  用水量测系统</w:t>
          </w:r>
          <w:r>
            <w:tab/>
          </w:r>
          <w:r>
            <w:fldChar w:fldCharType="begin"/>
          </w:r>
          <w:r>
            <w:instrText xml:space="preserve"> PAGEREF _Toc1912709650 \h </w:instrText>
          </w:r>
          <w:r>
            <w:fldChar w:fldCharType="separate"/>
          </w:r>
          <w:r>
            <w:t>- 8 -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_Toc423230349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3.3  工情监测系统</w:t>
          </w:r>
          <w:r>
            <w:tab/>
          </w:r>
          <w:r>
            <w:fldChar w:fldCharType="begin"/>
          </w:r>
          <w:r>
            <w:instrText xml:space="preserve"> PAGEREF _Toc423230349 \h </w:instrText>
          </w:r>
          <w:r>
            <w:fldChar w:fldCharType="separate"/>
          </w:r>
          <w:r>
            <w:t>- 11 -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_Toc1313964657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3.4  雨情监测系统</w:t>
          </w:r>
          <w:r>
            <w:tab/>
          </w:r>
          <w:r>
            <w:fldChar w:fldCharType="begin"/>
          </w:r>
          <w:r>
            <w:instrText xml:space="preserve"> PAGEREF _Toc1313964657 \h </w:instrText>
          </w:r>
          <w:r>
            <w:fldChar w:fldCharType="separate"/>
          </w:r>
          <w:r>
            <w:t>- 12 -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_Toc327251724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3.5  墒情监测系统</w:t>
          </w:r>
          <w:r>
            <w:tab/>
          </w:r>
          <w:r>
            <w:fldChar w:fldCharType="begin"/>
          </w:r>
          <w:r>
            <w:instrText xml:space="preserve"> PAGEREF _Toc327251724 \h </w:instrText>
          </w:r>
          <w:r>
            <w:fldChar w:fldCharType="separate"/>
          </w:r>
          <w:r>
            <w:t>- 12 -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_Toc1384243119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3.6  水事影像系统</w:t>
          </w:r>
          <w:r>
            <w:tab/>
          </w:r>
          <w:r>
            <w:fldChar w:fldCharType="begin"/>
          </w:r>
          <w:r>
            <w:instrText xml:space="preserve"> PAGEREF _Toc1384243119 \h </w:instrText>
          </w:r>
          <w:r>
            <w:fldChar w:fldCharType="separate"/>
          </w:r>
          <w:r>
            <w:t>- 13 -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_Toc1416518407 </w:instrText>
          </w:r>
          <w:r>
            <w:rPr>
              <w:rFonts w:hint="eastAsia" w:ascii="仿宋_GB2312" w:eastAsia="仿宋_GB2312"/>
              <w:szCs w:val="28"/>
              <w:lang w:val="zh-CN"/>
            </w:rPr>
            <w:fldChar w:fldCharType="separate"/>
          </w:r>
          <w:r>
            <w:rPr>
              <w:rFonts w:hint="default" w:ascii="宋体" w:hAnsi="宋体" w:eastAsia="宋体" w:cs="宋体"/>
              <w:snapToGrid/>
              <w:lang w:eastAsia="zh-CN"/>
            </w:rPr>
            <w:t xml:space="preserve">4 </w:t>
          </w:r>
          <w:r>
            <w:rPr>
              <w:rFonts w:hint="eastAsia" w:ascii="Times New Roman" w:hAnsi="Times New Roman" w:eastAsia="黑体" w:cs="Times New Roman"/>
              <w:snapToGrid/>
              <w:lang w:eastAsia="zh-CN"/>
            </w:rPr>
            <w:t>自动控制体系</w:t>
          </w:r>
          <w:r>
            <w:tab/>
          </w:r>
          <w:r>
            <w:fldChar w:fldCharType="begin"/>
          </w:r>
          <w:r>
            <w:instrText xml:space="preserve"> PAGEREF _Toc1416518407 \h </w:instrText>
          </w:r>
          <w:r>
            <w:fldChar w:fldCharType="separate"/>
          </w:r>
          <w:r>
            <w:t>- 14 -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_Toc1256942271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4.1  一般要求</w:t>
          </w:r>
          <w:r>
            <w:tab/>
          </w:r>
          <w:r>
            <w:fldChar w:fldCharType="begin"/>
          </w:r>
          <w:r>
            <w:instrText xml:space="preserve"> PAGEREF _Toc1256942271 \h </w:instrText>
          </w:r>
          <w:r>
            <w:fldChar w:fldCharType="separate"/>
          </w:r>
          <w:r>
            <w:t>- 14 -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_Toc2123627140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4.2  闸门控制系统</w:t>
          </w:r>
          <w:r>
            <w:tab/>
          </w:r>
          <w:r>
            <w:fldChar w:fldCharType="begin"/>
          </w:r>
          <w:r>
            <w:instrText xml:space="preserve"> PAGEREF _Toc2123627140 \h </w:instrText>
          </w:r>
          <w:r>
            <w:fldChar w:fldCharType="separate"/>
          </w:r>
          <w:r>
            <w:t>- 14 -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_Toc422208824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4.3  泵站控制系统</w:t>
          </w:r>
          <w:r>
            <w:tab/>
          </w:r>
          <w:r>
            <w:fldChar w:fldCharType="begin"/>
          </w:r>
          <w:r>
            <w:instrText xml:space="preserve"> PAGEREF _Toc422208824 \h </w:instrText>
          </w:r>
          <w:r>
            <w:fldChar w:fldCharType="separate"/>
          </w:r>
          <w:r>
            <w:t>- 15 -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_Toc812754849 </w:instrText>
          </w:r>
          <w:r>
            <w:rPr>
              <w:rFonts w:hint="eastAsia" w:ascii="仿宋_GB2312" w:eastAsia="仿宋_GB2312"/>
              <w:szCs w:val="28"/>
              <w:lang w:val="zh-CN"/>
            </w:rPr>
            <w:fldChar w:fldCharType="separate"/>
          </w:r>
          <w:r>
            <w:rPr>
              <w:rFonts w:hint="default" w:ascii="宋体" w:hAnsi="宋体" w:eastAsia="宋体" w:cs="宋体"/>
              <w:snapToGrid/>
              <w:lang w:eastAsia="zh-CN"/>
            </w:rPr>
            <w:t xml:space="preserve">5 </w:t>
          </w:r>
          <w:r>
            <w:rPr>
              <w:rFonts w:hint="eastAsia" w:ascii="Times New Roman" w:hAnsi="Times New Roman" w:eastAsia="黑体" w:cs="Times New Roman"/>
              <w:snapToGrid/>
              <w:lang w:eastAsia="zh-CN"/>
            </w:rPr>
            <w:t>支撑保障体系</w:t>
          </w:r>
          <w:r>
            <w:tab/>
          </w:r>
          <w:r>
            <w:fldChar w:fldCharType="begin"/>
          </w:r>
          <w:r>
            <w:instrText xml:space="preserve"> PAGEREF _Toc812754849 \h </w:instrText>
          </w:r>
          <w:r>
            <w:fldChar w:fldCharType="separate"/>
          </w:r>
          <w:r>
            <w:t>- 16 -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_Toc1083353268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5.1  一般要求</w:t>
          </w:r>
          <w:r>
            <w:tab/>
          </w:r>
          <w:r>
            <w:fldChar w:fldCharType="begin"/>
          </w:r>
          <w:r>
            <w:instrText xml:space="preserve"> PAGEREF _Toc1083353268 \h </w:instrText>
          </w:r>
          <w:r>
            <w:fldChar w:fldCharType="separate"/>
          </w:r>
          <w:r>
            <w:t>- 16 -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_Toc1413372150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5.2  管理中心及分中心</w:t>
          </w:r>
          <w:r>
            <w:tab/>
          </w:r>
          <w:r>
            <w:fldChar w:fldCharType="begin"/>
          </w:r>
          <w:r>
            <w:instrText xml:space="preserve"> PAGEREF _Toc1413372150 \h </w:instrText>
          </w:r>
          <w:r>
            <w:fldChar w:fldCharType="separate"/>
          </w:r>
          <w:r>
            <w:t>- 16 -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_Toc412185961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5.3  应用支撑平台</w:t>
          </w:r>
          <w:r>
            <w:tab/>
          </w:r>
          <w:r>
            <w:fldChar w:fldCharType="begin"/>
          </w:r>
          <w:r>
            <w:instrText xml:space="preserve"> PAGEREF _Toc412185961 \h </w:instrText>
          </w:r>
          <w:r>
            <w:fldChar w:fldCharType="separate"/>
          </w:r>
          <w:r>
            <w:t>- 16 -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_Toc1451196891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5.4  数据中心</w:t>
          </w:r>
          <w:r>
            <w:tab/>
          </w:r>
          <w:r>
            <w:fldChar w:fldCharType="begin"/>
          </w:r>
          <w:r>
            <w:instrText xml:space="preserve"> PAGEREF _Toc1451196891 \h </w:instrText>
          </w:r>
          <w:r>
            <w:fldChar w:fldCharType="separate"/>
          </w:r>
          <w:r>
            <w:t>- 17 -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_Toc1806234397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5.5  通信网络</w:t>
          </w:r>
          <w:r>
            <w:tab/>
          </w:r>
          <w:r>
            <w:fldChar w:fldCharType="begin"/>
          </w:r>
          <w:r>
            <w:instrText xml:space="preserve"> PAGEREF _Toc1806234397 \h </w:instrText>
          </w:r>
          <w:r>
            <w:fldChar w:fldCharType="separate"/>
          </w:r>
          <w:r>
            <w:t>- 17 -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_Toc2094576263 </w:instrText>
          </w:r>
          <w:r>
            <w:rPr>
              <w:rFonts w:hint="eastAsia" w:ascii="仿宋_GB2312" w:eastAsia="仿宋_GB2312"/>
              <w:szCs w:val="28"/>
              <w:lang w:val="zh-CN"/>
            </w:rPr>
            <w:fldChar w:fldCharType="separate"/>
          </w:r>
          <w:r>
            <w:rPr>
              <w:rFonts w:hint="default" w:ascii="宋体" w:hAnsi="宋体" w:eastAsia="宋体" w:cs="宋体"/>
              <w:snapToGrid/>
              <w:lang w:eastAsia="zh-CN"/>
            </w:rPr>
            <w:t xml:space="preserve">6 </w:t>
          </w:r>
          <w:r>
            <w:rPr>
              <w:rFonts w:hint="eastAsia" w:ascii="Times New Roman" w:hAnsi="Times New Roman" w:eastAsia="黑体" w:cs="Times New Roman"/>
              <w:snapToGrid/>
              <w:lang w:eastAsia="zh-CN"/>
            </w:rPr>
            <w:t>智慧应用体系</w:t>
          </w:r>
          <w:r>
            <w:tab/>
          </w:r>
          <w:r>
            <w:fldChar w:fldCharType="begin"/>
          </w:r>
          <w:r>
            <w:instrText xml:space="preserve"> PAGEREF _Toc2094576263 \h </w:instrText>
          </w:r>
          <w:r>
            <w:fldChar w:fldCharType="separate"/>
          </w:r>
          <w:r>
            <w:t>- 19 -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_Toc741356985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6.1  一般规定</w:t>
          </w:r>
          <w:r>
            <w:tab/>
          </w:r>
          <w:r>
            <w:fldChar w:fldCharType="begin"/>
          </w:r>
          <w:r>
            <w:instrText xml:space="preserve"> PAGEREF _Toc741356985 \h </w:instrText>
          </w:r>
          <w:r>
            <w:fldChar w:fldCharType="separate"/>
          </w:r>
          <w:r>
            <w:t>- 19 -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_Toc1369555537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6.2  灌区一张图</w:t>
          </w:r>
          <w:r>
            <w:tab/>
          </w:r>
          <w:r>
            <w:fldChar w:fldCharType="begin"/>
          </w:r>
          <w:r>
            <w:instrText xml:space="preserve"> PAGEREF _Toc1369555537 \h </w:instrText>
          </w:r>
          <w:r>
            <w:fldChar w:fldCharType="separate"/>
          </w:r>
          <w:r>
            <w:t>- 19 -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_Toc643583480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6.3  监测预警</w:t>
          </w:r>
          <w:r>
            <w:tab/>
          </w:r>
          <w:r>
            <w:fldChar w:fldCharType="begin"/>
          </w:r>
          <w:r>
            <w:instrText xml:space="preserve"> PAGEREF _Toc643583480 \h </w:instrText>
          </w:r>
          <w:r>
            <w:fldChar w:fldCharType="separate"/>
          </w:r>
          <w:r>
            <w:t>- 19 -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_Toc36439612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6.4  供用水管理</w:t>
          </w:r>
          <w:r>
            <w:tab/>
          </w:r>
          <w:r>
            <w:fldChar w:fldCharType="begin"/>
          </w:r>
          <w:r>
            <w:instrText xml:space="preserve"> PAGEREF _Toc36439612 \h </w:instrText>
          </w:r>
          <w:r>
            <w:fldChar w:fldCharType="separate"/>
          </w:r>
          <w:r>
            <w:t>- 20 -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_Toc1590620760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6.5  工程管理</w:t>
          </w:r>
          <w:r>
            <w:tab/>
          </w:r>
          <w:r>
            <w:fldChar w:fldCharType="begin"/>
          </w:r>
          <w:r>
            <w:instrText xml:space="preserve"> PAGEREF _Toc1590620760 \h </w:instrText>
          </w:r>
          <w:r>
            <w:fldChar w:fldCharType="separate"/>
          </w:r>
          <w:r>
            <w:t>- 20 -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_Toc1946578553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6.6  防汛管理</w:t>
          </w:r>
          <w:r>
            <w:tab/>
          </w:r>
          <w:r>
            <w:fldChar w:fldCharType="begin"/>
          </w:r>
          <w:r>
            <w:instrText xml:space="preserve"> PAGEREF _Toc1946578553 \h </w:instrText>
          </w:r>
          <w:r>
            <w:fldChar w:fldCharType="separate"/>
          </w:r>
          <w:r>
            <w:t>- 20 -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_Toc555105077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6.7  综合信息管理</w:t>
          </w:r>
          <w:r>
            <w:tab/>
          </w:r>
          <w:r>
            <w:fldChar w:fldCharType="begin"/>
          </w:r>
          <w:r>
            <w:instrText xml:space="preserve"> PAGEREF _Toc555105077 \h </w:instrText>
          </w:r>
          <w:r>
            <w:fldChar w:fldCharType="separate"/>
          </w:r>
          <w:r>
            <w:t>- 20 -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_Toc338032334 </w:instrText>
          </w:r>
          <w:r>
            <w:rPr>
              <w:rFonts w:hint="eastAsia" w:ascii="仿宋_GB2312" w:eastAsia="仿宋_GB2312"/>
              <w:szCs w:val="28"/>
              <w:lang w:val="zh-CN"/>
            </w:rPr>
            <w:fldChar w:fldCharType="separate"/>
          </w:r>
          <w:r>
            <w:rPr>
              <w:rFonts w:hint="eastAsia" w:ascii="楷体_GB2312" w:hAnsi="楷体_GB2312" w:eastAsia="楷体_GB2312" w:cs="楷体_GB2312"/>
              <w:bCs w:val="0"/>
              <w:snapToGrid/>
              <w:kern w:val="2"/>
              <w:lang w:eastAsia="zh-CN"/>
            </w:rPr>
            <w:t>6.8  系统管理</w:t>
          </w:r>
          <w:r>
            <w:tab/>
          </w:r>
          <w:r>
            <w:fldChar w:fldCharType="begin"/>
          </w:r>
          <w:r>
            <w:instrText xml:space="preserve"> PAGEREF _Toc338032334 \h </w:instrText>
          </w:r>
          <w:r>
            <w:fldChar w:fldCharType="separate"/>
          </w:r>
          <w:r>
            <w:t>- 21 -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_Toc1362658365 </w:instrText>
          </w:r>
          <w:r>
            <w:rPr>
              <w:rFonts w:hint="eastAsia" w:ascii="仿宋_GB2312" w:eastAsia="仿宋_GB2312"/>
              <w:szCs w:val="28"/>
              <w:lang w:val="zh-CN"/>
            </w:rPr>
            <w:fldChar w:fldCharType="separate"/>
          </w:r>
          <w:r>
            <w:rPr>
              <w:rFonts w:hint="eastAsia" w:ascii="Times New Roman" w:hAnsi="Times New Roman" w:eastAsia="黑体" w:cs="Times New Roman"/>
              <w:snapToGrid/>
              <w:lang w:eastAsia="zh-CN"/>
            </w:rPr>
            <w:t>7 共享交换体系</w:t>
          </w:r>
          <w:r>
            <w:tab/>
          </w:r>
          <w:r>
            <w:fldChar w:fldCharType="begin"/>
          </w:r>
          <w:r>
            <w:instrText xml:space="preserve"> PAGEREF _Toc1362658365 \h </w:instrText>
          </w:r>
          <w:r>
            <w:fldChar w:fldCharType="separate"/>
          </w:r>
          <w:r>
            <w:t>- 22 -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_Toc934900404 </w:instrText>
          </w:r>
          <w:r>
            <w:rPr>
              <w:rFonts w:hint="eastAsia" w:ascii="仿宋_GB2312" w:eastAsia="仿宋_GB2312"/>
              <w:szCs w:val="28"/>
              <w:lang w:val="zh-CN"/>
            </w:rPr>
            <w:fldChar w:fldCharType="separate"/>
          </w:r>
          <w:r>
            <w:rPr>
              <w:rFonts w:hint="eastAsia" w:ascii="楷体_GB2312" w:hAnsi="楷体_GB2312" w:eastAsia="楷体_GB2312" w:cs="楷体_GB2312"/>
              <w:snapToGrid/>
              <w:kern w:val="2"/>
              <w:lang w:eastAsia="zh-CN"/>
            </w:rPr>
            <w:t>7.1  一般要求</w:t>
          </w:r>
          <w:r>
            <w:tab/>
          </w:r>
          <w:r>
            <w:fldChar w:fldCharType="begin"/>
          </w:r>
          <w:r>
            <w:instrText xml:space="preserve"> PAGEREF _Toc934900404 \h </w:instrText>
          </w:r>
          <w:r>
            <w:fldChar w:fldCharType="separate"/>
          </w:r>
          <w:r>
            <w:t>- 22 -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_Toc1383351497 </w:instrText>
          </w:r>
          <w:r>
            <w:rPr>
              <w:rFonts w:hint="eastAsia" w:ascii="仿宋_GB2312" w:eastAsia="仿宋_GB2312"/>
              <w:szCs w:val="28"/>
              <w:lang w:val="zh-CN"/>
            </w:rPr>
            <w:fldChar w:fldCharType="separate"/>
          </w:r>
          <w:r>
            <w:rPr>
              <w:rFonts w:hint="eastAsia" w:ascii="楷体_GB2312" w:hAnsi="楷体_GB2312" w:eastAsia="楷体_GB2312" w:cs="楷体_GB2312"/>
              <w:snapToGrid/>
              <w:kern w:val="2"/>
              <w:lang w:eastAsia="zh-CN"/>
            </w:rPr>
            <w:t>7.2  基础数据</w:t>
          </w:r>
          <w:r>
            <w:tab/>
          </w:r>
          <w:r>
            <w:fldChar w:fldCharType="begin"/>
          </w:r>
          <w:r>
            <w:instrText xml:space="preserve"> PAGEREF _Toc1383351497 \h </w:instrText>
          </w:r>
          <w:r>
            <w:fldChar w:fldCharType="separate"/>
          </w:r>
          <w:r>
            <w:t>- 22 -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_Toc741220540 </w:instrText>
          </w:r>
          <w:r>
            <w:rPr>
              <w:rFonts w:hint="eastAsia" w:ascii="仿宋_GB2312" w:eastAsia="仿宋_GB2312"/>
              <w:szCs w:val="28"/>
              <w:lang w:val="zh-CN"/>
            </w:rPr>
            <w:fldChar w:fldCharType="separate"/>
          </w:r>
          <w:r>
            <w:rPr>
              <w:rFonts w:hint="eastAsia" w:ascii="楷体_GB2312" w:hAnsi="楷体_GB2312" w:eastAsia="楷体_GB2312" w:cs="楷体_GB2312"/>
              <w:snapToGrid/>
              <w:kern w:val="2"/>
              <w:lang w:eastAsia="zh-CN"/>
            </w:rPr>
            <w:t>7.3  空间数据</w:t>
          </w:r>
          <w:r>
            <w:tab/>
          </w:r>
          <w:r>
            <w:fldChar w:fldCharType="begin"/>
          </w:r>
          <w:r>
            <w:instrText xml:space="preserve"> PAGEREF _Toc741220540 \h </w:instrText>
          </w:r>
          <w:r>
            <w:fldChar w:fldCharType="separate"/>
          </w:r>
          <w:r>
            <w:t>- 22 -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_Toc300804699 </w:instrText>
          </w:r>
          <w:r>
            <w:rPr>
              <w:rFonts w:hint="eastAsia" w:ascii="仿宋_GB2312" w:eastAsia="仿宋_GB2312"/>
              <w:szCs w:val="28"/>
              <w:lang w:val="zh-CN"/>
            </w:rPr>
            <w:fldChar w:fldCharType="separate"/>
          </w:r>
          <w:r>
            <w:rPr>
              <w:rFonts w:hint="eastAsia" w:ascii="楷体_GB2312" w:hAnsi="楷体_GB2312" w:eastAsia="楷体_GB2312" w:cs="楷体_GB2312"/>
              <w:snapToGrid/>
              <w:kern w:val="2"/>
              <w:lang w:eastAsia="zh-CN"/>
            </w:rPr>
            <w:t>7.4  监测数据</w:t>
          </w:r>
          <w:r>
            <w:tab/>
          </w:r>
          <w:r>
            <w:fldChar w:fldCharType="begin"/>
          </w:r>
          <w:r>
            <w:instrText xml:space="preserve"> PAGEREF _Toc300804699 \h </w:instrText>
          </w:r>
          <w:r>
            <w:fldChar w:fldCharType="separate"/>
          </w:r>
          <w:r>
            <w:t>- 23 -</w:t>
          </w:r>
          <w:r>
            <w:fldChar w:fldCharType="end"/>
          </w:r>
          <w:r>
            <w:rPr>
              <w:rFonts w:hint="eastAsia" w:ascii="仿宋_GB2312" w:eastAsia="仿宋_GB2312"/>
              <w:color w:val="auto"/>
              <w:szCs w:val="28"/>
              <w:lang w:val="zh-CN"/>
            </w:rPr>
            <w:fldChar w:fldCharType="end"/>
          </w:r>
        </w:p>
        <w:p>
          <w:pPr>
            <w:pStyle w:val="11"/>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_Toc1907149426 </w:instrText>
          </w:r>
          <w:r>
            <w:rPr>
              <w:rFonts w:hint="eastAsia" w:ascii="仿宋_GB2312" w:eastAsia="仿宋_GB2312"/>
              <w:szCs w:val="28"/>
              <w:lang w:val="zh-CN"/>
            </w:rPr>
            <w:fldChar w:fldCharType="separate"/>
          </w:r>
          <w:r>
            <w:rPr>
              <w:rFonts w:hint="eastAsia" w:ascii="楷体_GB2312" w:hAnsi="楷体_GB2312" w:eastAsia="楷体_GB2312" w:cs="楷体_GB2312"/>
              <w:snapToGrid/>
              <w:kern w:val="2"/>
              <w:lang w:eastAsia="zh-CN"/>
            </w:rPr>
            <w:t>7.5  业务数据</w:t>
          </w:r>
          <w:r>
            <w:tab/>
          </w:r>
          <w:r>
            <w:fldChar w:fldCharType="begin"/>
          </w:r>
          <w:r>
            <w:instrText xml:space="preserve"> PAGEREF _Toc1907149426 \h </w:instrText>
          </w:r>
          <w:r>
            <w:fldChar w:fldCharType="separate"/>
          </w:r>
          <w:r>
            <w:t>- 23 -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_Toc1780918755 </w:instrText>
          </w:r>
          <w:r>
            <w:rPr>
              <w:rFonts w:hint="eastAsia" w:ascii="仿宋_GB2312" w:eastAsia="仿宋_GB2312"/>
              <w:szCs w:val="28"/>
              <w:lang w:val="zh-CN"/>
            </w:rPr>
            <w:fldChar w:fldCharType="separate"/>
          </w:r>
          <w:r>
            <w:rPr>
              <w:rFonts w:hint="eastAsia" w:ascii="Times New Roman" w:hAnsi="Times New Roman" w:eastAsia="黑体" w:cs="Times New Roman"/>
              <w:snapToGrid/>
              <w:lang w:eastAsia="zh-CN"/>
            </w:rPr>
            <w:t>8 网络安全</w:t>
          </w:r>
          <w:r>
            <w:tab/>
          </w:r>
          <w:r>
            <w:fldChar w:fldCharType="begin"/>
          </w:r>
          <w:r>
            <w:instrText xml:space="preserve"> PAGEREF _Toc1780918755 \h </w:instrText>
          </w:r>
          <w:r>
            <w:fldChar w:fldCharType="separate"/>
          </w:r>
          <w:r>
            <w:t>- 25 -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_Toc66030701 </w:instrText>
          </w:r>
          <w:r>
            <w:rPr>
              <w:rFonts w:hint="eastAsia" w:ascii="仿宋_GB2312" w:eastAsia="仿宋_GB2312"/>
              <w:szCs w:val="28"/>
              <w:lang w:val="zh-CN"/>
            </w:rPr>
            <w:fldChar w:fldCharType="separate"/>
          </w:r>
          <w:r>
            <w:rPr>
              <w:rFonts w:hint="eastAsia" w:ascii="黑体" w:hAnsi="黑体" w:eastAsia="黑体" w:cs="黑体"/>
              <w:bCs w:val="0"/>
              <w:spacing w:val="-8"/>
              <w:szCs w:val="32"/>
              <w:lang w:eastAsia="zh-CN"/>
            </w:rPr>
            <w:t>附件</w:t>
          </w:r>
          <w:r>
            <w:rPr>
              <w:rFonts w:hint="eastAsia" w:ascii="黑体" w:hAnsi="黑体" w:eastAsia="黑体" w:cs="黑体"/>
              <w:bCs w:val="0"/>
              <w:spacing w:val="-8"/>
              <w:szCs w:val="32"/>
              <w:lang w:val="en-US" w:eastAsia="zh-CN"/>
            </w:rPr>
            <w:t>1</w:t>
          </w:r>
          <w:r>
            <w:rPr>
              <w:rFonts w:hint="eastAsia" w:ascii="黑体" w:hAnsi="黑体" w:eastAsia="黑体" w:cs="黑体"/>
              <w:bCs w:val="0"/>
              <w:spacing w:val="-8"/>
              <w:szCs w:val="32"/>
              <w:lang w:eastAsia="zh-CN"/>
            </w:rPr>
            <w:t>：中型灌区信息化系统建设优先级划分表</w:t>
          </w:r>
          <w:r>
            <w:tab/>
          </w:r>
          <w:r>
            <w:fldChar w:fldCharType="begin"/>
          </w:r>
          <w:r>
            <w:instrText xml:space="preserve"> PAGEREF _Toc66030701 \h </w:instrText>
          </w:r>
          <w:r>
            <w:fldChar w:fldCharType="separate"/>
          </w:r>
          <w:r>
            <w:t>- 26 -</w:t>
          </w:r>
          <w:r>
            <w:fldChar w:fldCharType="end"/>
          </w:r>
          <w:r>
            <w:rPr>
              <w:rFonts w:hint="eastAsia" w:ascii="仿宋_GB2312" w:eastAsia="仿宋_GB2312"/>
              <w:color w:val="auto"/>
              <w:szCs w:val="28"/>
              <w:lang w:val="zh-CN"/>
            </w:rPr>
            <w:fldChar w:fldCharType="end"/>
          </w:r>
        </w:p>
        <w:p>
          <w:pPr>
            <w:pStyle w:val="10"/>
            <w:tabs>
              <w:tab w:val="right" w:leader="dot" w:pos="8337"/>
            </w:tabs>
          </w:pPr>
          <w:r>
            <w:rPr>
              <w:rFonts w:hint="eastAsia" w:ascii="仿宋_GB2312" w:eastAsia="仿宋_GB2312"/>
              <w:color w:val="auto"/>
              <w:szCs w:val="28"/>
              <w:lang w:val="zh-CN"/>
            </w:rPr>
            <w:fldChar w:fldCharType="begin"/>
          </w:r>
          <w:r>
            <w:rPr>
              <w:rFonts w:hint="eastAsia" w:ascii="仿宋_GB2312" w:eastAsia="仿宋_GB2312"/>
              <w:szCs w:val="28"/>
              <w:lang w:val="zh-CN"/>
            </w:rPr>
            <w:instrText xml:space="preserve"> HYPERLINK \l _Toc182896128 </w:instrText>
          </w:r>
          <w:r>
            <w:rPr>
              <w:rFonts w:hint="eastAsia" w:ascii="仿宋_GB2312" w:eastAsia="仿宋_GB2312"/>
              <w:szCs w:val="28"/>
              <w:lang w:val="zh-CN"/>
            </w:rPr>
            <w:fldChar w:fldCharType="separate"/>
          </w:r>
          <w:r>
            <w:rPr>
              <w:rFonts w:hint="eastAsia" w:ascii="黑体" w:hAnsi="黑体" w:eastAsia="黑体" w:cs="黑体"/>
              <w:bCs w:val="0"/>
              <w:spacing w:val="-8"/>
              <w:szCs w:val="32"/>
              <w:lang w:eastAsia="zh-CN"/>
            </w:rPr>
            <w:t>附件</w:t>
          </w:r>
          <w:r>
            <w:rPr>
              <w:rFonts w:hint="eastAsia" w:ascii="黑体" w:hAnsi="黑体" w:eastAsia="黑体" w:cs="黑体"/>
              <w:bCs w:val="0"/>
              <w:spacing w:val="-8"/>
              <w:szCs w:val="32"/>
              <w:lang w:val="en-US" w:eastAsia="zh-CN"/>
            </w:rPr>
            <w:t>2</w:t>
          </w:r>
          <w:r>
            <w:rPr>
              <w:rFonts w:hint="eastAsia" w:ascii="黑体" w:hAnsi="黑体" w:eastAsia="黑体" w:cs="黑体"/>
              <w:bCs w:val="0"/>
              <w:spacing w:val="-8"/>
              <w:szCs w:val="32"/>
              <w:lang w:eastAsia="zh-CN"/>
            </w:rPr>
            <w:t>：中型灌区信息化建设总体框架图</w:t>
          </w:r>
          <w:r>
            <w:tab/>
          </w:r>
          <w:r>
            <w:fldChar w:fldCharType="begin"/>
          </w:r>
          <w:r>
            <w:instrText xml:space="preserve"> PAGEREF _Toc182896128 \h </w:instrText>
          </w:r>
          <w:r>
            <w:fldChar w:fldCharType="separate"/>
          </w:r>
          <w:r>
            <w:t>- 27 -</w:t>
          </w:r>
          <w:r>
            <w:fldChar w:fldCharType="end"/>
          </w:r>
          <w:r>
            <w:rPr>
              <w:rFonts w:hint="eastAsia" w:ascii="仿宋_GB2312" w:eastAsia="仿宋_GB2312"/>
              <w:color w:val="auto"/>
              <w:szCs w:val="28"/>
              <w:lang w:val="zh-CN"/>
            </w:rPr>
            <w:fldChar w:fldCharType="end"/>
          </w:r>
        </w:p>
        <w:p>
          <w:pPr>
            <w:rPr>
              <w:color w:val="auto"/>
            </w:rPr>
          </w:pPr>
          <w:r>
            <w:rPr>
              <w:rFonts w:hint="eastAsia" w:ascii="仿宋_GB2312" w:eastAsia="仿宋_GB2312"/>
              <w:color w:val="auto"/>
              <w:szCs w:val="28"/>
              <w:lang w:val="zh-CN"/>
            </w:rPr>
            <w:fldChar w:fldCharType="end"/>
          </w:r>
        </w:p>
      </w:sdtContent>
    </w:sdt>
    <w:p>
      <w:pPr>
        <w:pStyle w:val="13"/>
        <w:ind w:firstLine="424"/>
        <w:rPr>
          <w:color w:val="auto"/>
          <w:lang w:eastAsia="zh-CN"/>
        </w:rPr>
      </w:pPr>
    </w:p>
    <w:p>
      <w:pPr>
        <w:rPr>
          <w:color w:val="auto"/>
          <w:lang w:eastAsia="zh-CN"/>
        </w:rPr>
      </w:pPr>
    </w:p>
    <w:p>
      <w:pPr>
        <w:tabs>
          <w:tab w:val="left" w:pos="3078"/>
        </w:tabs>
        <w:rPr>
          <w:color w:val="auto"/>
          <w:lang w:eastAsia="zh-CN"/>
        </w:rPr>
        <w:sectPr>
          <w:footerReference r:id="rId4" w:type="default"/>
          <w:pgSz w:w="11907" w:h="16839"/>
          <w:pgMar w:top="1431" w:right="1785" w:bottom="0" w:left="1785" w:header="0" w:footer="0" w:gutter="0"/>
          <w:pgNumType w:fmt="numberInDash" w:start="1"/>
          <w:cols w:space="720" w:num="1"/>
        </w:sectPr>
      </w:pPr>
      <w:bookmarkStart w:id="392" w:name="_GoBack"/>
      <w:bookmarkEnd w:id="392"/>
    </w:p>
    <w:p>
      <w:pPr>
        <w:pStyle w:val="2"/>
        <w:keepNext w:val="0"/>
        <w:keepLines w:val="0"/>
        <w:widowControl w:val="0"/>
        <w:kinsoku/>
        <w:overflowPunct w:val="0"/>
        <w:autoSpaceDE/>
        <w:autoSpaceDN/>
        <w:adjustRightInd/>
        <w:snapToGrid/>
        <w:spacing w:line="578" w:lineRule="exact"/>
        <w:ind w:firstLine="0"/>
        <w:textAlignment w:val="auto"/>
        <w:rPr>
          <w:rFonts w:ascii="Times New Roman" w:hAnsi="Times New Roman" w:eastAsia="黑体" w:cs="Times New Roman"/>
          <w:snapToGrid/>
          <w:color w:val="auto"/>
          <w:lang w:eastAsia="zh-CN"/>
        </w:rPr>
      </w:pPr>
      <w:bookmarkStart w:id="0" w:name="bookmark2"/>
      <w:bookmarkEnd w:id="0"/>
      <w:bookmarkStart w:id="1" w:name="bookmark5"/>
      <w:bookmarkEnd w:id="1"/>
      <w:bookmarkStart w:id="2" w:name="bookmark3"/>
      <w:bookmarkEnd w:id="2"/>
      <w:bookmarkStart w:id="3" w:name="_Toc1255683360"/>
      <w:bookmarkStart w:id="4" w:name="_Toc2057433482"/>
      <w:bookmarkStart w:id="5" w:name="_Toc1713854016"/>
      <w:bookmarkStart w:id="6" w:name="_Toc221065222"/>
      <w:bookmarkStart w:id="7" w:name="_Toc1067668858"/>
      <w:bookmarkStart w:id="8" w:name="_Toc118718699"/>
      <w:bookmarkStart w:id="9" w:name="_Toc960698204"/>
      <w:bookmarkStart w:id="10" w:name="_Toc1925854899"/>
      <w:r>
        <w:rPr>
          <w:rFonts w:hint="eastAsia" w:ascii="Times New Roman" w:hAnsi="Times New Roman" w:eastAsia="黑体" w:cs="Times New Roman"/>
          <w:snapToGrid/>
          <w:color w:val="auto"/>
          <w:lang w:eastAsia="zh-CN"/>
        </w:rPr>
        <w:t>总则</w:t>
      </w:r>
      <w:bookmarkEnd w:id="3"/>
      <w:bookmarkEnd w:id="4"/>
      <w:bookmarkEnd w:id="5"/>
      <w:bookmarkEnd w:id="6"/>
      <w:bookmarkEnd w:id="7"/>
      <w:bookmarkEnd w:id="8"/>
      <w:bookmarkEnd w:id="9"/>
      <w:bookmarkEnd w:id="10"/>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1" w:name="bookmark4"/>
      <w:bookmarkEnd w:id="11"/>
      <w:bookmarkStart w:id="12" w:name="_Toc405776018"/>
      <w:bookmarkStart w:id="13" w:name="_Toc820979884"/>
      <w:bookmarkStart w:id="14" w:name="_Toc1050620315"/>
      <w:bookmarkStart w:id="15" w:name="_Toc1221153589"/>
      <w:bookmarkStart w:id="16" w:name="_Toc1607991670"/>
      <w:bookmarkStart w:id="17" w:name="_Toc294978270"/>
      <w:bookmarkStart w:id="18" w:name="_Toc1302995072"/>
      <w:bookmarkStart w:id="19" w:name="_Toc1995811710"/>
      <w:r>
        <w:rPr>
          <w:rFonts w:hint="eastAsia" w:ascii="楷体_GB2312" w:hAnsi="楷体_GB2312" w:eastAsia="楷体_GB2312" w:cs="楷体_GB2312"/>
          <w:b/>
          <w:bCs w:val="0"/>
          <w:snapToGrid/>
          <w:color w:val="auto"/>
          <w:kern w:val="2"/>
          <w:sz w:val="32"/>
          <w:lang w:eastAsia="zh-CN"/>
        </w:rPr>
        <w:t>1.1  编制目的</w:t>
      </w:r>
      <w:bookmarkEnd w:id="12"/>
      <w:bookmarkEnd w:id="13"/>
      <w:bookmarkEnd w:id="14"/>
      <w:bookmarkEnd w:id="15"/>
      <w:bookmarkEnd w:id="16"/>
      <w:bookmarkEnd w:id="17"/>
      <w:bookmarkEnd w:id="18"/>
      <w:bookmarkEnd w:id="19"/>
    </w:p>
    <w:p>
      <w:pPr>
        <w:keepNext w:val="0"/>
        <w:keepLines w:val="0"/>
        <w:pageBreakBefore w:val="0"/>
        <w:widowControl w:val="0"/>
        <w:numPr>
          <w:ilvl w:val="255"/>
          <w:numId w:val="0"/>
        </w:numPr>
        <w:tabs>
          <w:tab w:val="left" w:pos="576"/>
          <w:tab w:val="left" w:pos="2702"/>
        </w:tabs>
        <w:kinsoku/>
        <w:wordWrap/>
        <w:overflowPunct w:val="0"/>
        <w:topLinePunct w:val="0"/>
        <w:autoSpaceDE/>
        <w:autoSpaceDN/>
        <w:bidi w:val="0"/>
        <w:adjustRightInd w:val="0"/>
        <w:snapToGrid/>
        <w:spacing w:line="578" w:lineRule="exact"/>
        <w:ind w:firstLine="640" w:firstLineChars="200"/>
        <w:jc w:val="both"/>
        <w:textAlignment w:val="auto"/>
        <w:rPr>
          <w:color w:val="auto"/>
          <w:lang w:eastAsia="zh-CN"/>
        </w:rPr>
      </w:pPr>
      <w:r>
        <w:rPr>
          <w:rFonts w:hint="eastAsia" w:ascii="Times New Roman" w:hAnsi="Times New Roman" w:eastAsia="仿宋_GB2312" w:cs="Times New Roman"/>
          <w:snapToGrid/>
          <w:color w:val="auto"/>
          <w:kern w:val="2"/>
          <w:sz w:val="32"/>
          <w:lang w:eastAsia="zh-CN"/>
        </w:rPr>
        <w:t>为实现中型灌区“设施完善、节水高效、管理科学、生态良好”现代化建设总目标，规范指导中型灌区信息化建设，全面提升我省中型灌区信息化建设管理水平，特制定本指南。</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0" w:name="_Toc518665464"/>
      <w:bookmarkStart w:id="21" w:name="_Toc1599086424"/>
      <w:bookmarkStart w:id="22" w:name="_Toc1041096626"/>
      <w:bookmarkStart w:id="23" w:name="_Toc1939703186"/>
      <w:bookmarkStart w:id="24" w:name="_Toc286584188"/>
      <w:bookmarkStart w:id="25" w:name="_Toc47849795"/>
      <w:bookmarkStart w:id="26" w:name="_Toc773605679"/>
      <w:bookmarkStart w:id="27" w:name="_Toc1733302970"/>
      <w:r>
        <w:rPr>
          <w:rFonts w:hint="eastAsia" w:ascii="楷体_GB2312" w:hAnsi="楷体_GB2312" w:eastAsia="楷体_GB2312" w:cs="楷体_GB2312"/>
          <w:b/>
          <w:bCs w:val="0"/>
          <w:snapToGrid/>
          <w:color w:val="auto"/>
          <w:kern w:val="2"/>
          <w:sz w:val="32"/>
          <w:lang w:eastAsia="zh-CN"/>
        </w:rPr>
        <w:t>1.2  适用范围</w:t>
      </w:r>
      <w:bookmarkEnd w:id="20"/>
      <w:bookmarkEnd w:id="21"/>
      <w:bookmarkEnd w:id="22"/>
      <w:bookmarkEnd w:id="23"/>
      <w:bookmarkEnd w:id="24"/>
      <w:bookmarkEnd w:id="25"/>
      <w:bookmarkEnd w:id="26"/>
      <w:bookmarkEnd w:id="27"/>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本指南适用于四川省行政区域内新建和改造中型灌区信息化建设，小型灌区参照使用</w:t>
      </w:r>
      <w:r>
        <w:rPr>
          <w:rFonts w:ascii="Times New Roman" w:hAnsi="Times New Roman" w:eastAsia="仿宋_GB2312"/>
          <w:color w:val="auto"/>
          <w:sz w:val="32"/>
          <w:lang w:eastAsia="zh-CN"/>
        </w:rPr>
        <w:t>。</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8" w:name="bookmark7"/>
      <w:bookmarkEnd w:id="28"/>
      <w:bookmarkStart w:id="29" w:name="bookmark8"/>
      <w:bookmarkEnd w:id="29"/>
      <w:bookmarkStart w:id="30" w:name="bookmark6"/>
      <w:bookmarkEnd w:id="30"/>
      <w:bookmarkStart w:id="31" w:name="_Toc259643141"/>
      <w:bookmarkStart w:id="32" w:name="_Toc487432079"/>
      <w:bookmarkStart w:id="33" w:name="_Toc367825754"/>
      <w:bookmarkStart w:id="34" w:name="_Toc894895222"/>
      <w:bookmarkStart w:id="35" w:name="_Toc720344874"/>
      <w:bookmarkStart w:id="36" w:name="_Toc1220131717"/>
      <w:bookmarkStart w:id="37" w:name="_Toc1176853421"/>
      <w:bookmarkStart w:id="38" w:name="_Toc1677027442"/>
      <w:r>
        <w:rPr>
          <w:rFonts w:hint="eastAsia" w:ascii="楷体_GB2312" w:hAnsi="楷体_GB2312" w:eastAsia="楷体_GB2312" w:cs="楷体_GB2312"/>
          <w:b/>
          <w:bCs w:val="0"/>
          <w:snapToGrid/>
          <w:color w:val="auto"/>
          <w:kern w:val="2"/>
          <w:sz w:val="32"/>
          <w:lang w:eastAsia="zh-CN"/>
        </w:rPr>
        <w:t>1.3  建设原则</w:t>
      </w:r>
      <w:bookmarkEnd w:id="31"/>
      <w:bookmarkEnd w:id="32"/>
      <w:bookmarkEnd w:id="33"/>
      <w:bookmarkEnd w:id="34"/>
      <w:bookmarkEnd w:id="35"/>
      <w:bookmarkEnd w:id="36"/>
      <w:bookmarkEnd w:id="37"/>
      <w:bookmarkEnd w:id="38"/>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1.3.1  需求牵引、应用至上。结合灌区管理实际，深入调查分析灌区业务管理需求，因地制宜开展信息化基础设施和平台体系建设，强化业务应用，支撑灌区管理。</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1.3.2  整合共享、集约建设。按照“整合已建、统筹在建、规范新建”要求，以县域为单元，统筹搭建灌区信息化管理综合业务平台，兼顾灌区日常管理个性化需求，充分挖掘利用现有基础设施，避免重复建设。</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 xml:space="preserve">1.3.3  </w:t>
      </w:r>
      <w:r>
        <w:rPr>
          <w:rFonts w:hint="eastAsia" w:ascii="Times New Roman" w:hAnsi="Times New Roman" w:eastAsia="仿宋_GB2312" w:cs="Arial"/>
          <w:color w:val="auto"/>
          <w:sz w:val="32"/>
          <w:szCs w:val="21"/>
          <w:lang w:eastAsia="zh-CN"/>
        </w:rPr>
        <w:t>先进实用、安全可靠。</w:t>
      </w:r>
      <w:r>
        <w:rPr>
          <w:rFonts w:hint="eastAsia" w:ascii="Times New Roman" w:hAnsi="Times New Roman" w:eastAsia="仿宋_GB2312"/>
          <w:color w:val="auto"/>
          <w:sz w:val="32"/>
          <w:lang w:eastAsia="zh-CN"/>
        </w:rPr>
        <w:t>紧密结合灌区信息化业务和功能需求，注重云资源、大数据、物联网、数字孪生等新一代信息技术的融合利用，强化技术和设备选型的实用性，以及系统与网络安全要求，保障信息化系统长期稳定、安全运行，优先采用自主可控软硬件。</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 xml:space="preserve">1.3.4  </w:t>
      </w:r>
      <w:r>
        <w:rPr>
          <w:rFonts w:hint="eastAsia" w:ascii="Times New Roman" w:hAnsi="Times New Roman" w:eastAsia="仿宋_GB2312" w:cs="Arial"/>
          <w:color w:val="auto"/>
          <w:sz w:val="32"/>
          <w:szCs w:val="21"/>
          <w:lang w:eastAsia="zh-CN"/>
        </w:rPr>
        <w:t>方便拓展、易于维护。</w:t>
      </w:r>
      <w:r>
        <w:rPr>
          <w:rFonts w:hint="eastAsia" w:ascii="Times New Roman" w:hAnsi="Times New Roman" w:eastAsia="仿宋_GB2312" w:cs="Arial"/>
          <w:color w:val="auto"/>
          <w:sz w:val="32"/>
          <w:lang w:eastAsia="zh-CN"/>
        </w:rPr>
        <w:t>充分考虑开放性和可扩充性，为系统后期拓展预留接口。信息化接口应符合国家和行业有关标准和规约，支持灌区信息化平台与当地、上级水利信息系统互联互通。应充分考虑建设成果的运维在技术、管理、投入方面的可达性，为信息化系统后期运管创造便利条件。</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39" w:name="bookmark10"/>
      <w:bookmarkEnd w:id="39"/>
      <w:bookmarkStart w:id="40" w:name="_Toc115635996"/>
      <w:bookmarkStart w:id="41" w:name="_Toc1998944533"/>
      <w:bookmarkStart w:id="42" w:name="_Toc265972962"/>
      <w:bookmarkStart w:id="43" w:name="_Toc1985472908"/>
      <w:bookmarkStart w:id="44" w:name="_Toc642960719"/>
      <w:bookmarkStart w:id="45" w:name="_Toc782629751"/>
      <w:bookmarkStart w:id="46" w:name="_Toc1089012234"/>
      <w:bookmarkStart w:id="47" w:name="_Toc1563563460"/>
      <w:r>
        <w:rPr>
          <w:rFonts w:hint="eastAsia" w:ascii="楷体_GB2312" w:hAnsi="楷体_GB2312" w:eastAsia="楷体_GB2312" w:cs="楷体_GB2312"/>
          <w:b/>
          <w:bCs w:val="0"/>
          <w:snapToGrid/>
          <w:color w:val="auto"/>
          <w:kern w:val="2"/>
          <w:sz w:val="32"/>
          <w:lang w:eastAsia="zh-CN"/>
        </w:rPr>
        <w:t>1.</w:t>
      </w:r>
      <w:r>
        <w:rPr>
          <w:rFonts w:hint="eastAsia" w:ascii="楷体_GB2312" w:hAnsi="楷体_GB2312" w:eastAsia="楷体_GB2312" w:cs="楷体_GB2312"/>
          <w:b/>
          <w:bCs w:val="0"/>
          <w:snapToGrid/>
          <w:color w:val="auto"/>
          <w:kern w:val="2"/>
          <w:sz w:val="32"/>
          <w:lang w:val="en-US" w:eastAsia="zh-CN"/>
        </w:rPr>
        <w:t>4</w:t>
      </w:r>
      <w:r>
        <w:rPr>
          <w:rFonts w:hint="eastAsia" w:ascii="楷体_GB2312" w:hAnsi="楷体_GB2312" w:eastAsia="楷体_GB2312" w:cs="楷体_GB2312"/>
          <w:b/>
          <w:bCs w:val="0"/>
          <w:snapToGrid/>
          <w:color w:val="auto"/>
          <w:kern w:val="2"/>
          <w:sz w:val="32"/>
          <w:lang w:eastAsia="zh-CN"/>
        </w:rPr>
        <w:t xml:space="preserve">  编制依据</w:t>
      </w:r>
      <w:bookmarkEnd w:id="40"/>
      <w:bookmarkEnd w:id="41"/>
      <w:bookmarkEnd w:id="42"/>
      <w:bookmarkEnd w:id="43"/>
      <w:bookmarkEnd w:id="44"/>
      <w:bookmarkEnd w:id="45"/>
      <w:bookmarkEnd w:id="46"/>
      <w:bookmarkEnd w:id="47"/>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1.《灌溉渠道系统量水规范》（GB/T</w:t>
      </w:r>
      <w:r>
        <w:rPr>
          <w:rFonts w:hint="eastAsia" w:ascii="Times New Roman" w:hAnsi="Times New Roman" w:eastAsia="仿宋_GB2312"/>
          <w:bCs/>
          <w:color w:val="auto"/>
          <w:spacing w:val="0"/>
          <w:sz w:val="32"/>
          <w:szCs w:val="32"/>
          <w:lang w:val="en-US" w:eastAsia="zh-CN"/>
        </w:rPr>
        <w:t xml:space="preserve"> </w:t>
      </w:r>
      <w:r>
        <w:rPr>
          <w:rFonts w:hint="eastAsia" w:ascii="Times New Roman" w:hAnsi="Times New Roman" w:eastAsia="仿宋_GB2312"/>
          <w:bCs/>
          <w:color w:val="auto"/>
          <w:spacing w:val="0"/>
          <w:sz w:val="32"/>
          <w:szCs w:val="32"/>
          <w:lang w:eastAsia="zh-CN"/>
        </w:rPr>
        <w:t>21303）</w:t>
      </w:r>
    </w:p>
    <w:p>
      <w:pPr>
        <w:pStyle w:val="13"/>
        <w:keepNext w:val="0"/>
        <w:keepLines w:val="0"/>
        <w:pageBreakBefore w:val="0"/>
        <w:wordWrap/>
        <w:topLinePunct w:val="0"/>
        <w:bidi w:val="0"/>
        <w:adjustRightInd w:val="0"/>
        <w:spacing w:line="578" w:lineRule="exact"/>
        <w:ind w:left="0" w:leftChars="0" w:firstLine="644"/>
        <w:rPr>
          <w:rFonts w:ascii="Times New Roman" w:hAnsi="Times New Roman" w:eastAsiaTheme="minorEastAsia"/>
          <w:color w:val="auto"/>
          <w:sz w:val="32"/>
          <w:lang w:eastAsia="zh-CN"/>
        </w:rPr>
      </w:pPr>
      <w:r>
        <w:rPr>
          <w:rFonts w:ascii="Times New Roman" w:hAnsi="Times New Roman" w:eastAsiaTheme="minorEastAsia"/>
          <w:color w:val="auto"/>
          <w:spacing w:val="2"/>
          <w:sz w:val="32"/>
          <w:szCs w:val="24"/>
          <w:lang w:eastAsia="zh-CN"/>
        </w:rPr>
        <w:t>2</w:t>
      </w:r>
      <w:r>
        <w:rPr>
          <w:rFonts w:hint="eastAsia" w:ascii="Times New Roman" w:hAnsi="Times New Roman" w:eastAsiaTheme="minorEastAsia"/>
          <w:color w:val="auto"/>
          <w:spacing w:val="2"/>
          <w:sz w:val="32"/>
          <w:szCs w:val="24"/>
          <w:lang w:val="en-US" w:eastAsia="zh-CN"/>
        </w:rPr>
        <w:t>.</w:t>
      </w:r>
      <w:r>
        <w:rPr>
          <w:rFonts w:hint="eastAsia" w:ascii="Times New Roman" w:hAnsi="Times New Roman" w:eastAsia="仿宋_GB2312"/>
          <w:bCs/>
          <w:color w:val="auto"/>
          <w:spacing w:val="0"/>
          <w:sz w:val="32"/>
          <w:szCs w:val="32"/>
          <w:lang w:eastAsia="zh-CN"/>
        </w:rPr>
        <w:t>《</w:t>
      </w:r>
      <w:r>
        <w:rPr>
          <w:rFonts w:hint="eastAsia" w:ascii="Times New Roman" w:hAnsi="Times New Roman" w:eastAsia="仿宋_GB2312"/>
          <w:color w:val="auto"/>
          <w:spacing w:val="2"/>
          <w:sz w:val="32"/>
          <w:szCs w:val="24"/>
          <w:lang w:eastAsia="zh-CN"/>
        </w:rPr>
        <w:t>河流流量测验规范</w:t>
      </w:r>
      <w:r>
        <w:rPr>
          <w:rFonts w:hint="eastAsia" w:ascii="Times New Roman" w:hAnsi="Times New Roman" w:eastAsia="仿宋_GB2312"/>
          <w:bCs/>
          <w:color w:val="auto"/>
          <w:spacing w:val="0"/>
          <w:sz w:val="32"/>
          <w:szCs w:val="32"/>
          <w:lang w:eastAsia="zh-CN"/>
        </w:rPr>
        <w:t xml:space="preserve">》（GB </w:t>
      </w:r>
      <w:r>
        <w:rPr>
          <w:rFonts w:ascii="Times New Roman" w:hAnsi="Times New Roman" w:eastAsia="仿宋_GB2312"/>
          <w:color w:val="auto"/>
          <w:spacing w:val="2"/>
          <w:sz w:val="32"/>
          <w:szCs w:val="24"/>
          <w:lang w:eastAsia="zh-CN"/>
        </w:rPr>
        <w:t>50179</w:t>
      </w:r>
      <w:r>
        <w:rPr>
          <w:rFonts w:hint="eastAsia" w:ascii="Times New Roman" w:hAnsi="Times New Roman" w:eastAsia="仿宋_GB2312"/>
          <w:bCs/>
          <w:color w:val="auto"/>
          <w:spacing w:val="0"/>
          <w:sz w:val="32"/>
          <w:szCs w:val="32"/>
          <w:lang w:eastAsia="zh-CN"/>
        </w:rPr>
        <w:t>）</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3</w:t>
      </w:r>
      <w:r>
        <w:rPr>
          <w:rFonts w:hint="eastAsia" w:ascii="Times New Roman" w:hAnsi="Times New Roman" w:eastAsia="仿宋_GB2312"/>
          <w:bCs/>
          <w:color w:val="auto"/>
          <w:spacing w:val="0"/>
          <w:sz w:val="32"/>
          <w:szCs w:val="32"/>
          <w:lang w:eastAsia="zh-CN"/>
        </w:rPr>
        <w:t>.《水文仪器基本参数及通用技术条件》（GB/T 15966）</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4</w:t>
      </w:r>
      <w:r>
        <w:rPr>
          <w:rFonts w:hint="eastAsia" w:ascii="Times New Roman" w:hAnsi="Times New Roman" w:eastAsia="仿宋_GB2312"/>
          <w:bCs/>
          <w:color w:val="auto"/>
          <w:spacing w:val="0"/>
          <w:sz w:val="32"/>
          <w:szCs w:val="32"/>
          <w:lang w:eastAsia="zh-CN"/>
        </w:rPr>
        <w:t>.《</w:t>
      </w:r>
      <w:r>
        <w:rPr>
          <w:rFonts w:hint="eastAsia" w:ascii="Times New Roman" w:hAnsi="Times New Roman" w:eastAsia="仿宋_GB2312"/>
          <w:bCs/>
          <w:color w:val="auto"/>
          <w:spacing w:val="0"/>
          <w:sz w:val="32"/>
          <w:szCs w:val="32"/>
          <w:lang w:val="en-US" w:eastAsia="zh-CN"/>
        </w:rPr>
        <w:t>降水量观测仪器 第2部分：翻斗式雨量传感器</w:t>
      </w:r>
      <w:r>
        <w:rPr>
          <w:rFonts w:hint="eastAsia" w:ascii="Times New Roman" w:hAnsi="Times New Roman" w:eastAsia="仿宋_GB2312"/>
          <w:bCs/>
          <w:color w:val="auto"/>
          <w:spacing w:val="0"/>
          <w:sz w:val="32"/>
          <w:szCs w:val="32"/>
          <w:lang w:eastAsia="zh-CN"/>
        </w:rPr>
        <w:t xml:space="preserve">》（GB/T </w:t>
      </w:r>
      <w:r>
        <w:rPr>
          <w:rFonts w:hint="eastAsia" w:ascii="Times New Roman" w:hAnsi="Times New Roman" w:eastAsia="仿宋_GB2312"/>
          <w:bCs/>
          <w:color w:val="auto"/>
          <w:spacing w:val="0"/>
          <w:sz w:val="32"/>
          <w:szCs w:val="32"/>
          <w:lang w:val="en-US" w:eastAsia="zh-CN"/>
        </w:rPr>
        <w:t>21978.2</w:t>
      </w:r>
      <w:r>
        <w:rPr>
          <w:rFonts w:hint="eastAsia" w:ascii="Times New Roman" w:hAnsi="Times New Roman" w:eastAsia="仿宋_GB2312"/>
          <w:bCs/>
          <w:color w:val="auto"/>
          <w:spacing w:val="0"/>
          <w:sz w:val="32"/>
          <w:szCs w:val="32"/>
          <w:lang w:eastAsia="zh-CN"/>
        </w:rPr>
        <w:t>）</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5</w:t>
      </w:r>
      <w:r>
        <w:rPr>
          <w:rFonts w:hint="eastAsia" w:ascii="Times New Roman" w:hAnsi="Times New Roman" w:eastAsia="仿宋_GB2312"/>
          <w:bCs/>
          <w:color w:val="auto"/>
          <w:spacing w:val="0"/>
          <w:sz w:val="32"/>
          <w:szCs w:val="32"/>
          <w:lang w:eastAsia="zh-CN"/>
        </w:rPr>
        <w:t>.《视频安防监控系统工程设计规范》（GB 50395）</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6</w:t>
      </w:r>
      <w:r>
        <w:rPr>
          <w:rFonts w:hint="eastAsia" w:ascii="Times New Roman" w:hAnsi="Times New Roman" w:eastAsia="仿宋_GB2312"/>
          <w:bCs/>
          <w:color w:val="auto"/>
          <w:spacing w:val="0"/>
          <w:sz w:val="32"/>
          <w:szCs w:val="32"/>
          <w:lang w:eastAsia="zh-CN"/>
        </w:rPr>
        <w:t>.《信息安全技术网络安全等级保护基本要求》（GB/T 22239）</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7</w:t>
      </w:r>
      <w:r>
        <w:rPr>
          <w:rFonts w:hint="eastAsia" w:ascii="Times New Roman" w:hAnsi="Times New Roman" w:eastAsia="仿宋_GB2312"/>
          <w:bCs/>
          <w:color w:val="auto"/>
          <w:spacing w:val="0"/>
          <w:sz w:val="32"/>
          <w:szCs w:val="32"/>
          <w:lang w:eastAsia="zh-CN"/>
        </w:rPr>
        <w:t>.《信息安全技术网络安全等级保护定级指南》（GB/T 22240）</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8</w:t>
      </w:r>
      <w:r>
        <w:rPr>
          <w:rFonts w:hint="eastAsia" w:ascii="Times New Roman" w:hAnsi="Times New Roman" w:eastAsia="仿宋_GB2312"/>
          <w:bCs/>
          <w:color w:val="auto"/>
          <w:spacing w:val="0"/>
          <w:sz w:val="32"/>
          <w:szCs w:val="32"/>
          <w:lang w:eastAsia="zh-CN"/>
        </w:rPr>
        <w:t>.《取水计量技术导则》（GB/T 28714）</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9</w:t>
      </w:r>
      <w:r>
        <w:rPr>
          <w:rFonts w:hint="eastAsia" w:ascii="Times New Roman" w:hAnsi="Times New Roman" w:eastAsia="仿宋_GB2312"/>
          <w:bCs/>
          <w:color w:val="auto"/>
          <w:spacing w:val="0"/>
          <w:sz w:val="32"/>
          <w:szCs w:val="32"/>
          <w:lang w:eastAsia="zh-CN"/>
        </w:rPr>
        <w:t>.《数据中心设计规范》（GB 50174）</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10</w:t>
      </w:r>
      <w:r>
        <w:rPr>
          <w:rFonts w:hint="eastAsia" w:ascii="Times New Roman" w:hAnsi="Times New Roman" w:eastAsia="仿宋_GB2312"/>
          <w:bCs/>
          <w:color w:val="auto"/>
          <w:spacing w:val="0"/>
          <w:sz w:val="32"/>
          <w:szCs w:val="32"/>
          <w:lang w:eastAsia="zh-CN"/>
        </w:rPr>
        <w:t>.《公共安全视频监控联网系统信息传输、交换、控制技术要求》（GB/T 28181）</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w:t>
      </w:r>
      <w:r>
        <w:rPr>
          <w:rFonts w:hint="eastAsia" w:ascii="Times New Roman" w:hAnsi="Times New Roman" w:eastAsia="仿宋_GB2312"/>
          <w:bCs/>
          <w:color w:val="auto"/>
          <w:spacing w:val="0"/>
          <w:sz w:val="32"/>
          <w:szCs w:val="32"/>
          <w:lang w:val="en-US" w:eastAsia="zh-CN"/>
        </w:rPr>
        <w:t>1</w:t>
      </w:r>
      <w:r>
        <w:rPr>
          <w:rFonts w:hint="eastAsia" w:ascii="Times New Roman" w:hAnsi="Times New Roman" w:eastAsia="仿宋_GB2312"/>
          <w:bCs/>
          <w:color w:val="auto"/>
          <w:spacing w:val="0"/>
          <w:sz w:val="32"/>
          <w:szCs w:val="32"/>
          <w:lang w:eastAsia="zh-CN"/>
        </w:rPr>
        <w:t>.《水文监测数据通信规约》（SL</w:t>
      </w:r>
      <w:r>
        <w:rPr>
          <w:rFonts w:hint="eastAsia" w:ascii="Times New Roman" w:hAnsi="Times New Roman" w:eastAsia="仿宋_GB2312"/>
          <w:bCs/>
          <w:color w:val="auto"/>
          <w:spacing w:val="0"/>
          <w:sz w:val="32"/>
          <w:szCs w:val="32"/>
          <w:lang w:val="en-US" w:eastAsia="zh-CN"/>
        </w:rPr>
        <w:t xml:space="preserve">/T </w:t>
      </w:r>
      <w:r>
        <w:rPr>
          <w:rFonts w:hint="eastAsia" w:ascii="Times New Roman" w:hAnsi="Times New Roman" w:eastAsia="仿宋_GB2312"/>
          <w:bCs/>
          <w:color w:val="auto"/>
          <w:spacing w:val="0"/>
          <w:sz w:val="32"/>
          <w:szCs w:val="32"/>
          <w:lang w:eastAsia="zh-CN"/>
        </w:rPr>
        <w:t>651）</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w:t>
      </w:r>
      <w:r>
        <w:rPr>
          <w:rFonts w:hint="eastAsia" w:ascii="Times New Roman" w:hAnsi="Times New Roman" w:eastAsia="仿宋_GB2312"/>
          <w:bCs/>
          <w:color w:val="auto"/>
          <w:spacing w:val="0"/>
          <w:sz w:val="32"/>
          <w:szCs w:val="32"/>
          <w:lang w:val="en-US" w:eastAsia="zh-CN"/>
        </w:rPr>
        <w:t>2</w:t>
      </w:r>
      <w:r>
        <w:rPr>
          <w:rFonts w:hint="eastAsia" w:ascii="Times New Roman" w:hAnsi="Times New Roman" w:eastAsia="仿宋_GB2312"/>
          <w:bCs/>
          <w:color w:val="auto"/>
          <w:spacing w:val="0"/>
          <w:sz w:val="32"/>
          <w:szCs w:val="32"/>
          <w:lang w:eastAsia="zh-CN"/>
        </w:rPr>
        <w:t xml:space="preserve">.《水文数据固态存储装置通用技术条件》（SL 149）  </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w:t>
      </w:r>
      <w:r>
        <w:rPr>
          <w:rFonts w:hint="eastAsia" w:ascii="Times New Roman" w:hAnsi="Times New Roman" w:eastAsia="仿宋_GB2312"/>
          <w:bCs/>
          <w:color w:val="auto"/>
          <w:spacing w:val="0"/>
          <w:sz w:val="32"/>
          <w:szCs w:val="32"/>
          <w:lang w:val="en-US" w:eastAsia="zh-CN"/>
        </w:rPr>
        <w:t>3</w:t>
      </w:r>
      <w:r>
        <w:rPr>
          <w:rFonts w:hint="eastAsia" w:ascii="Times New Roman" w:hAnsi="Times New Roman" w:eastAsia="仿宋_GB2312"/>
          <w:bCs/>
          <w:color w:val="auto"/>
          <w:spacing w:val="0"/>
          <w:sz w:val="32"/>
          <w:szCs w:val="32"/>
          <w:lang w:eastAsia="zh-CN"/>
        </w:rPr>
        <w:t>.《降水量观测规范》（SL 21）</w:t>
      </w:r>
    </w:p>
    <w:p>
      <w:pPr>
        <w:pStyle w:val="13"/>
        <w:keepNext w:val="0"/>
        <w:keepLines w:val="0"/>
        <w:pageBreakBefore w:val="0"/>
        <w:wordWrap/>
        <w:topLinePunct w:val="0"/>
        <w:bidi w:val="0"/>
        <w:adjustRightInd w:val="0"/>
        <w:spacing w:line="578" w:lineRule="exact"/>
        <w:ind w:left="0" w:leftChars="0" w:firstLine="640"/>
        <w:rPr>
          <w:rFonts w:hint="eastAsia"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w:t>
      </w:r>
      <w:r>
        <w:rPr>
          <w:rFonts w:hint="eastAsia" w:ascii="Times New Roman" w:hAnsi="Times New Roman" w:eastAsia="仿宋_GB2312"/>
          <w:bCs/>
          <w:color w:val="auto"/>
          <w:spacing w:val="0"/>
          <w:sz w:val="32"/>
          <w:szCs w:val="32"/>
          <w:lang w:val="en-US" w:eastAsia="zh-CN"/>
        </w:rPr>
        <w:t>4</w:t>
      </w:r>
      <w:r>
        <w:rPr>
          <w:rFonts w:hint="eastAsia" w:ascii="Times New Roman" w:hAnsi="Times New Roman" w:eastAsia="仿宋_GB2312"/>
          <w:bCs/>
          <w:color w:val="auto"/>
          <w:spacing w:val="0"/>
          <w:sz w:val="32"/>
          <w:szCs w:val="32"/>
          <w:lang w:eastAsia="zh-CN"/>
        </w:rPr>
        <w:t xml:space="preserve">.《土壤墒情监测规范》（SL 364） </w:t>
      </w:r>
    </w:p>
    <w:p>
      <w:pPr>
        <w:pStyle w:val="13"/>
        <w:keepNext w:val="0"/>
        <w:keepLines w:val="0"/>
        <w:pageBreakBefore w:val="0"/>
        <w:wordWrap/>
        <w:topLinePunct w:val="0"/>
        <w:bidi w:val="0"/>
        <w:adjustRightInd w:val="0"/>
        <w:spacing w:line="578" w:lineRule="exact"/>
        <w:ind w:left="0" w:leftChars="0" w:firstLine="644"/>
        <w:rPr>
          <w:rFonts w:hint="eastAsia" w:ascii="Times New Roman" w:hAnsi="Times New Roman" w:eastAsia="仿宋_GB2312"/>
          <w:bCs/>
          <w:color w:val="auto"/>
          <w:spacing w:val="0"/>
          <w:sz w:val="32"/>
          <w:szCs w:val="32"/>
          <w:lang w:eastAsia="zh-CN"/>
        </w:rPr>
      </w:pPr>
      <w:r>
        <w:rPr>
          <w:rFonts w:hint="eastAsia" w:ascii="Times New Roman" w:hAnsi="Times New Roman" w:eastAsiaTheme="minorEastAsia"/>
          <w:color w:val="auto"/>
          <w:spacing w:val="2"/>
          <w:sz w:val="32"/>
          <w:szCs w:val="24"/>
          <w:lang w:val="en-US" w:eastAsia="zh-CN"/>
        </w:rPr>
        <w:t>15.</w:t>
      </w:r>
      <w:r>
        <w:rPr>
          <w:rFonts w:hint="eastAsia" w:ascii="Times New Roman" w:hAnsi="Times New Roman" w:eastAsia="仿宋_GB2312"/>
          <w:color w:val="auto"/>
          <w:spacing w:val="2"/>
          <w:sz w:val="32"/>
          <w:szCs w:val="24"/>
          <w:lang w:eastAsia="zh-CN"/>
        </w:rPr>
        <w:t>《水工建筑物与堰槽测流规范》</w:t>
      </w:r>
      <w:r>
        <w:rPr>
          <w:rFonts w:hint="eastAsia" w:ascii="Times New Roman" w:hAnsi="Times New Roman" w:eastAsia="仿宋_GB2312"/>
          <w:bCs/>
          <w:color w:val="auto"/>
          <w:spacing w:val="0"/>
          <w:sz w:val="32"/>
          <w:szCs w:val="32"/>
          <w:lang w:eastAsia="zh-CN"/>
        </w:rPr>
        <w:t xml:space="preserve">（SL </w:t>
      </w:r>
      <w:r>
        <w:rPr>
          <w:rFonts w:hint="eastAsia" w:ascii="Times New Roman" w:hAnsi="Times New Roman" w:eastAsia="仿宋_GB2312"/>
          <w:bCs/>
          <w:color w:val="auto"/>
          <w:spacing w:val="0"/>
          <w:sz w:val="32"/>
          <w:szCs w:val="32"/>
          <w:lang w:val="en-US" w:eastAsia="zh-CN"/>
        </w:rPr>
        <w:t>537</w:t>
      </w:r>
      <w:r>
        <w:rPr>
          <w:rFonts w:hint="eastAsia" w:ascii="Times New Roman" w:hAnsi="Times New Roman" w:eastAsia="仿宋_GB2312"/>
          <w:bCs/>
          <w:color w:val="auto"/>
          <w:spacing w:val="0"/>
          <w:sz w:val="32"/>
          <w:szCs w:val="32"/>
          <w:lang w:eastAsia="zh-CN"/>
        </w:rPr>
        <w:t>）</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w:t>
      </w:r>
      <w:r>
        <w:rPr>
          <w:rFonts w:hint="eastAsia" w:ascii="Times New Roman" w:hAnsi="Times New Roman" w:eastAsia="仿宋_GB2312"/>
          <w:bCs/>
          <w:color w:val="auto"/>
          <w:spacing w:val="0"/>
          <w:sz w:val="32"/>
          <w:szCs w:val="32"/>
          <w:lang w:val="en-US" w:eastAsia="zh-CN"/>
        </w:rPr>
        <w:t>6</w:t>
      </w:r>
      <w:r>
        <w:rPr>
          <w:rFonts w:hint="eastAsia" w:ascii="Times New Roman" w:hAnsi="Times New Roman" w:eastAsia="仿宋_GB2312"/>
          <w:bCs/>
          <w:color w:val="auto"/>
          <w:spacing w:val="0"/>
          <w:sz w:val="32"/>
          <w:szCs w:val="32"/>
          <w:lang w:eastAsia="zh-CN"/>
        </w:rPr>
        <w:t>.《水利数据中心管理规程》（SL 604）</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w:t>
      </w:r>
      <w:r>
        <w:rPr>
          <w:rFonts w:hint="eastAsia" w:ascii="Times New Roman" w:hAnsi="Times New Roman" w:eastAsia="仿宋_GB2312"/>
          <w:bCs/>
          <w:color w:val="auto"/>
          <w:spacing w:val="0"/>
          <w:sz w:val="32"/>
          <w:szCs w:val="32"/>
          <w:lang w:val="en-US" w:eastAsia="zh-CN"/>
        </w:rPr>
        <w:t>7</w:t>
      </w:r>
      <w:r>
        <w:rPr>
          <w:rFonts w:hint="eastAsia" w:ascii="Times New Roman" w:hAnsi="Times New Roman" w:eastAsia="仿宋_GB2312"/>
          <w:bCs/>
          <w:color w:val="auto"/>
          <w:spacing w:val="0"/>
          <w:sz w:val="32"/>
          <w:szCs w:val="32"/>
          <w:lang w:eastAsia="zh-CN"/>
        </w:rPr>
        <w:t>.《水利水电工程安全监测设计规范》（SL 725）</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1</w:t>
      </w:r>
      <w:r>
        <w:rPr>
          <w:rFonts w:hint="eastAsia" w:ascii="Times New Roman" w:hAnsi="Times New Roman" w:eastAsia="仿宋_GB2312"/>
          <w:bCs/>
          <w:color w:val="auto"/>
          <w:spacing w:val="0"/>
          <w:sz w:val="32"/>
          <w:szCs w:val="32"/>
          <w:lang w:val="en-US" w:eastAsia="zh-CN"/>
        </w:rPr>
        <w:t>8</w:t>
      </w:r>
      <w:r>
        <w:rPr>
          <w:rFonts w:hint="eastAsia" w:ascii="Times New Roman" w:hAnsi="Times New Roman" w:eastAsia="仿宋_GB2312"/>
          <w:bCs/>
          <w:color w:val="auto"/>
          <w:spacing w:val="0"/>
          <w:sz w:val="32"/>
          <w:szCs w:val="32"/>
          <w:lang w:eastAsia="zh-CN"/>
        </w:rPr>
        <w:t>.《水闸安全监测技术规范》（SL 768）</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19</w:t>
      </w:r>
      <w:r>
        <w:rPr>
          <w:rFonts w:hint="eastAsia" w:ascii="Times New Roman" w:hAnsi="Times New Roman" w:eastAsia="仿宋_GB2312"/>
          <w:bCs/>
          <w:color w:val="auto"/>
          <w:spacing w:val="0"/>
          <w:sz w:val="32"/>
          <w:szCs w:val="32"/>
          <w:lang w:eastAsia="zh-CN"/>
        </w:rPr>
        <w:t>.《水利对象分类与编码总则》（SL/T 213）</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20</w:t>
      </w:r>
      <w:r>
        <w:rPr>
          <w:rFonts w:hint="eastAsia" w:ascii="Times New Roman" w:hAnsi="Times New Roman" w:eastAsia="仿宋_GB2312"/>
          <w:bCs/>
          <w:color w:val="auto"/>
          <w:spacing w:val="0"/>
          <w:sz w:val="32"/>
          <w:szCs w:val="32"/>
          <w:lang w:eastAsia="zh-CN"/>
        </w:rPr>
        <w:t>.《</w:t>
      </w:r>
      <w:r>
        <w:rPr>
          <w:rFonts w:hint="eastAsia" w:ascii="Times New Roman" w:hAnsi="Times New Roman" w:eastAsia="仿宋_GB2312" w:cs="Arial"/>
          <w:bCs/>
          <w:color w:val="auto"/>
          <w:spacing w:val="0"/>
          <w:sz w:val="32"/>
          <w:szCs w:val="32"/>
          <w:lang w:val="en-US" w:eastAsia="zh-CN"/>
        </w:rPr>
        <w:t>实时</w:t>
      </w:r>
      <w:r>
        <w:rPr>
          <w:rFonts w:hint="eastAsia" w:ascii="Times New Roman" w:hAnsi="Times New Roman" w:eastAsia="仿宋_GB2312"/>
          <w:bCs/>
          <w:color w:val="auto"/>
          <w:spacing w:val="0"/>
          <w:sz w:val="32"/>
          <w:szCs w:val="32"/>
          <w:lang w:eastAsia="zh-CN"/>
        </w:rPr>
        <w:t>雨水情数据库表结构与标识符》（SL 323）</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21</w:t>
      </w:r>
      <w:r>
        <w:rPr>
          <w:rFonts w:hint="eastAsia" w:ascii="Times New Roman" w:hAnsi="Times New Roman" w:eastAsia="仿宋_GB2312"/>
          <w:bCs/>
          <w:color w:val="auto"/>
          <w:spacing w:val="0"/>
          <w:sz w:val="32"/>
          <w:szCs w:val="32"/>
          <w:lang w:eastAsia="zh-CN"/>
        </w:rPr>
        <w:t>.《水利对象基础数据库表结构及标识符》（SL/T 809）</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2</w:t>
      </w:r>
      <w:r>
        <w:rPr>
          <w:rFonts w:hint="eastAsia" w:ascii="Times New Roman" w:hAnsi="Times New Roman" w:eastAsia="仿宋_GB2312"/>
          <w:bCs/>
          <w:color w:val="auto"/>
          <w:spacing w:val="0"/>
          <w:sz w:val="32"/>
          <w:szCs w:val="32"/>
          <w:lang w:val="en-US" w:eastAsia="zh-CN"/>
        </w:rPr>
        <w:t>2</w:t>
      </w:r>
      <w:r>
        <w:rPr>
          <w:rFonts w:hint="eastAsia" w:ascii="Times New Roman" w:hAnsi="Times New Roman" w:eastAsia="仿宋_GB2312"/>
          <w:bCs/>
          <w:color w:val="auto"/>
          <w:spacing w:val="0"/>
          <w:sz w:val="32"/>
          <w:szCs w:val="32"/>
          <w:lang w:eastAsia="zh-CN"/>
        </w:rPr>
        <w:t>.《水利数据交换规约》（SL/T 783）</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2</w:t>
      </w:r>
      <w:r>
        <w:rPr>
          <w:rFonts w:hint="eastAsia" w:ascii="Times New Roman" w:hAnsi="Times New Roman" w:eastAsia="仿宋_GB2312"/>
          <w:bCs/>
          <w:color w:val="auto"/>
          <w:spacing w:val="0"/>
          <w:sz w:val="32"/>
          <w:szCs w:val="32"/>
          <w:lang w:val="en-US" w:eastAsia="zh-CN"/>
        </w:rPr>
        <w:t>3</w:t>
      </w:r>
      <w:r>
        <w:rPr>
          <w:rFonts w:hint="eastAsia" w:ascii="Times New Roman" w:hAnsi="Times New Roman" w:eastAsia="仿宋_GB2312"/>
          <w:bCs/>
          <w:color w:val="auto"/>
          <w:spacing w:val="0"/>
          <w:sz w:val="32"/>
          <w:szCs w:val="32"/>
          <w:lang w:eastAsia="zh-CN"/>
        </w:rPr>
        <w:t>.《水利一张图空间信息服务规范》（SL/T 801）</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2</w:t>
      </w:r>
      <w:r>
        <w:rPr>
          <w:rFonts w:hint="eastAsia" w:ascii="Times New Roman" w:hAnsi="Times New Roman" w:eastAsia="仿宋_GB2312"/>
          <w:bCs/>
          <w:color w:val="auto"/>
          <w:spacing w:val="0"/>
          <w:sz w:val="32"/>
          <w:szCs w:val="32"/>
          <w:lang w:val="en-US" w:eastAsia="zh-CN"/>
        </w:rPr>
        <w:t>4</w:t>
      </w:r>
      <w:r>
        <w:rPr>
          <w:rFonts w:hint="eastAsia" w:ascii="Times New Roman" w:hAnsi="Times New Roman" w:eastAsia="仿宋_GB2312"/>
          <w:bCs/>
          <w:color w:val="auto"/>
          <w:spacing w:val="0"/>
          <w:sz w:val="32"/>
          <w:szCs w:val="32"/>
          <w:lang w:eastAsia="zh-CN"/>
        </w:rPr>
        <w:t>.《水利网络安全保护技术规范》（SL/T 803）</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2</w:t>
      </w:r>
      <w:r>
        <w:rPr>
          <w:rFonts w:hint="eastAsia" w:ascii="Times New Roman" w:hAnsi="Times New Roman" w:eastAsia="仿宋_GB2312"/>
          <w:bCs/>
          <w:color w:val="auto"/>
          <w:spacing w:val="0"/>
          <w:sz w:val="32"/>
          <w:szCs w:val="32"/>
          <w:lang w:val="en-US" w:eastAsia="zh-CN"/>
        </w:rPr>
        <w:t>5</w:t>
      </w:r>
      <w:r>
        <w:rPr>
          <w:rFonts w:hint="eastAsia" w:ascii="Times New Roman" w:hAnsi="Times New Roman" w:eastAsia="仿宋_GB2312"/>
          <w:bCs/>
          <w:color w:val="auto"/>
          <w:spacing w:val="0"/>
          <w:sz w:val="32"/>
          <w:szCs w:val="32"/>
          <w:lang w:eastAsia="zh-CN"/>
        </w:rPr>
        <w:t>.《水利空间数据交换协议》（SL/T 797）</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2</w:t>
      </w:r>
      <w:r>
        <w:rPr>
          <w:rFonts w:hint="eastAsia" w:ascii="Times New Roman" w:hAnsi="Times New Roman" w:eastAsia="仿宋_GB2312"/>
          <w:bCs/>
          <w:color w:val="auto"/>
          <w:spacing w:val="0"/>
          <w:sz w:val="32"/>
          <w:szCs w:val="32"/>
          <w:lang w:val="en-US" w:eastAsia="zh-CN"/>
        </w:rPr>
        <w:t>6</w:t>
      </w:r>
      <w:r>
        <w:rPr>
          <w:rFonts w:hint="eastAsia" w:ascii="Times New Roman" w:hAnsi="Times New Roman" w:eastAsia="仿宋_GB2312"/>
          <w:bCs/>
          <w:color w:val="auto"/>
          <w:spacing w:val="0"/>
          <w:sz w:val="32"/>
          <w:szCs w:val="32"/>
          <w:lang w:eastAsia="zh-CN"/>
        </w:rPr>
        <w:t>.《四川省水文数据通信传输指南》（DB51/T 2997）</w:t>
      </w:r>
    </w:p>
    <w:p>
      <w:pPr>
        <w:pStyle w:val="13"/>
        <w:keepNext w:val="0"/>
        <w:keepLines w:val="0"/>
        <w:pageBreakBefore w:val="0"/>
        <w:wordWrap/>
        <w:topLinePunct w:val="0"/>
        <w:bidi w:val="0"/>
        <w:adjustRightInd w:val="0"/>
        <w:spacing w:line="578" w:lineRule="exact"/>
        <w:ind w:left="0" w:leftChars="0" w:firstLine="640"/>
        <w:rPr>
          <w:rFonts w:hint="eastAsia"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eastAsia="zh-CN"/>
        </w:rPr>
        <w:t>2</w:t>
      </w:r>
      <w:r>
        <w:rPr>
          <w:rFonts w:hint="eastAsia" w:ascii="Times New Roman" w:hAnsi="Times New Roman" w:eastAsia="仿宋_GB2312"/>
          <w:bCs/>
          <w:color w:val="auto"/>
          <w:spacing w:val="0"/>
          <w:sz w:val="32"/>
          <w:szCs w:val="32"/>
          <w:lang w:val="en-US" w:eastAsia="zh-CN"/>
        </w:rPr>
        <w:t>7</w:t>
      </w:r>
      <w:r>
        <w:rPr>
          <w:rFonts w:hint="eastAsia" w:ascii="Times New Roman" w:hAnsi="Times New Roman" w:eastAsia="仿宋_GB2312"/>
          <w:bCs/>
          <w:color w:val="auto"/>
          <w:spacing w:val="0"/>
          <w:sz w:val="32"/>
          <w:szCs w:val="32"/>
          <w:lang w:eastAsia="zh-CN"/>
        </w:rPr>
        <w:t>.《中型灌区续建配套与节水改造项目建设管理办法（试行）》（办农水〔2021〕340号）</w:t>
      </w:r>
    </w:p>
    <w:p>
      <w:pPr>
        <w:pStyle w:val="13"/>
        <w:keepNext w:val="0"/>
        <w:keepLines w:val="0"/>
        <w:pageBreakBefore w:val="0"/>
        <w:wordWrap/>
        <w:topLinePunct w:val="0"/>
        <w:bidi w:val="0"/>
        <w:adjustRightInd w:val="0"/>
        <w:spacing w:line="578" w:lineRule="exact"/>
        <w:ind w:left="0" w:leftChars="0" w:firstLine="640"/>
        <w:rPr>
          <w:rFonts w:hint="eastAsia"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28</w:t>
      </w:r>
      <w:r>
        <w:rPr>
          <w:rFonts w:hint="eastAsia" w:ascii="Times New Roman" w:hAnsi="Times New Roman" w:eastAsia="仿宋_GB2312"/>
          <w:bCs/>
          <w:color w:val="auto"/>
          <w:spacing w:val="0"/>
          <w:sz w:val="32"/>
          <w:szCs w:val="32"/>
          <w:lang w:eastAsia="zh-CN"/>
        </w:rPr>
        <w:t>.《四川省中型灌区续建配套与节水改造项目建设管理实施细则》（川水发〔2022〕6号 ）</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29</w:t>
      </w:r>
      <w:r>
        <w:rPr>
          <w:rFonts w:hint="eastAsia" w:ascii="Times New Roman" w:hAnsi="Times New Roman" w:eastAsia="仿宋_GB2312"/>
          <w:bCs/>
          <w:color w:val="auto"/>
          <w:spacing w:val="0"/>
          <w:sz w:val="32"/>
          <w:szCs w:val="32"/>
          <w:lang w:eastAsia="zh-CN"/>
        </w:rPr>
        <w:t>.《水利部办公厅关于加强中型灌区续建配套与节水改造项目前期工作的通知》（办农水函〔2022〕233号）</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30</w:t>
      </w:r>
      <w:r>
        <w:rPr>
          <w:rFonts w:hint="eastAsia" w:ascii="Times New Roman" w:hAnsi="Times New Roman" w:eastAsia="仿宋_GB2312"/>
          <w:bCs/>
          <w:color w:val="auto"/>
          <w:spacing w:val="0"/>
          <w:sz w:val="32"/>
          <w:szCs w:val="32"/>
          <w:lang w:eastAsia="zh-CN"/>
        </w:rPr>
        <w:t>.《水利部办公厅关于开展数字孪生灌区先行先试工作的通知》（办农水函〔2022〕1163号）</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pPr>
      <w:r>
        <w:rPr>
          <w:rFonts w:hint="eastAsia" w:ascii="Times New Roman" w:hAnsi="Times New Roman" w:eastAsia="仿宋_GB2312"/>
          <w:bCs/>
          <w:color w:val="auto"/>
          <w:spacing w:val="0"/>
          <w:sz w:val="32"/>
          <w:szCs w:val="32"/>
          <w:lang w:val="en-US" w:eastAsia="zh-CN"/>
        </w:rPr>
        <w:t>31</w:t>
      </w:r>
      <w:r>
        <w:rPr>
          <w:rFonts w:hint="eastAsia" w:ascii="Times New Roman" w:hAnsi="Times New Roman" w:eastAsia="仿宋_GB2312"/>
          <w:bCs/>
          <w:color w:val="auto"/>
          <w:spacing w:val="0"/>
          <w:sz w:val="32"/>
          <w:szCs w:val="32"/>
          <w:lang w:eastAsia="zh-CN"/>
        </w:rPr>
        <w:t>.《水利部印发&lt;关于推进水利工程建设数字孪生的指导意见&gt;的通知》（水建设〔2024〕93号）</w:t>
      </w:r>
    </w:p>
    <w:p>
      <w:pPr>
        <w:pStyle w:val="13"/>
        <w:keepNext w:val="0"/>
        <w:keepLines w:val="0"/>
        <w:pageBreakBefore w:val="0"/>
        <w:wordWrap/>
        <w:topLinePunct w:val="0"/>
        <w:bidi w:val="0"/>
        <w:adjustRightInd w:val="0"/>
        <w:spacing w:line="578" w:lineRule="exact"/>
        <w:ind w:left="0" w:leftChars="0" w:firstLine="640"/>
        <w:rPr>
          <w:rFonts w:ascii="Times New Roman" w:hAnsi="Times New Roman" w:eastAsia="仿宋_GB2312"/>
          <w:bCs/>
          <w:color w:val="auto"/>
          <w:spacing w:val="0"/>
          <w:sz w:val="32"/>
          <w:szCs w:val="32"/>
          <w:lang w:eastAsia="zh-CN"/>
        </w:rPr>
        <w:sectPr>
          <w:headerReference r:id="rId5" w:type="default"/>
          <w:footerReference r:id="rId6" w:type="default"/>
          <w:pgSz w:w="11907" w:h="16839"/>
          <w:pgMar w:top="1361" w:right="1633" w:bottom="1361" w:left="1633" w:header="0" w:footer="1458" w:gutter="0"/>
          <w:pgNumType w:fmt="numberInDash" w:start="1"/>
          <w:cols w:space="720" w:num="1"/>
        </w:sectPr>
      </w:pPr>
    </w:p>
    <w:p>
      <w:pPr>
        <w:pStyle w:val="2"/>
        <w:keepNext w:val="0"/>
        <w:keepLines w:val="0"/>
        <w:widowControl w:val="0"/>
        <w:kinsoku/>
        <w:overflowPunct w:val="0"/>
        <w:autoSpaceDE/>
        <w:autoSpaceDN/>
        <w:adjustRightInd/>
        <w:snapToGrid/>
        <w:spacing w:line="578" w:lineRule="exact"/>
        <w:ind w:firstLine="0"/>
        <w:textAlignment w:val="auto"/>
        <w:rPr>
          <w:rFonts w:ascii="Times New Roman" w:hAnsi="Times New Roman" w:eastAsia="黑体" w:cs="Times New Roman"/>
          <w:snapToGrid/>
          <w:color w:val="auto"/>
          <w:lang w:eastAsia="zh-CN"/>
        </w:rPr>
      </w:pPr>
      <w:bookmarkStart w:id="48" w:name="bookmark15"/>
      <w:bookmarkEnd w:id="48"/>
      <w:bookmarkStart w:id="49" w:name="bookmark14"/>
      <w:bookmarkEnd w:id="49"/>
      <w:bookmarkStart w:id="50" w:name="_Toc1996739702"/>
      <w:bookmarkStart w:id="51" w:name="_Toc1909621414"/>
      <w:bookmarkStart w:id="52" w:name="_Toc379795327"/>
      <w:bookmarkStart w:id="53" w:name="_Toc270908722"/>
      <w:bookmarkStart w:id="54" w:name="_Toc1449686043"/>
      <w:bookmarkStart w:id="55" w:name="_Toc43618533"/>
      <w:bookmarkStart w:id="56" w:name="_Toc931403462"/>
      <w:r>
        <w:rPr>
          <w:rFonts w:hint="eastAsia" w:ascii="Times New Roman" w:hAnsi="Times New Roman" w:eastAsia="黑体" w:cs="Times New Roman"/>
          <w:snapToGrid/>
          <w:color w:val="auto"/>
          <w:lang w:eastAsia="zh-CN"/>
        </w:rPr>
        <w:t>总体架构</w:t>
      </w:r>
      <w:bookmarkEnd w:id="50"/>
      <w:bookmarkEnd w:id="51"/>
      <w:bookmarkEnd w:id="52"/>
      <w:bookmarkEnd w:id="53"/>
      <w:bookmarkEnd w:id="54"/>
      <w:bookmarkEnd w:id="55"/>
      <w:bookmarkEnd w:id="56"/>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57" w:name="_Toc1033473069"/>
      <w:bookmarkStart w:id="58" w:name="_Toc763988164"/>
      <w:bookmarkStart w:id="59" w:name="_Toc699345447"/>
      <w:bookmarkStart w:id="60" w:name="_Toc1408117495"/>
      <w:bookmarkStart w:id="61" w:name="_Toc140749987"/>
      <w:bookmarkStart w:id="62" w:name="_Toc476480000"/>
      <w:bookmarkStart w:id="63" w:name="_Toc1045319163"/>
      <w:bookmarkStart w:id="64" w:name="_Toc656240201"/>
      <w:r>
        <w:rPr>
          <w:rFonts w:hint="eastAsia" w:ascii="楷体_GB2312" w:hAnsi="楷体_GB2312" w:eastAsia="楷体_GB2312" w:cs="楷体_GB2312"/>
          <w:b/>
          <w:bCs w:val="0"/>
          <w:snapToGrid/>
          <w:color w:val="auto"/>
          <w:kern w:val="2"/>
          <w:sz w:val="32"/>
          <w:lang w:val="en-US" w:eastAsia="zh-CN"/>
        </w:rPr>
        <w:t>2</w:t>
      </w:r>
      <w:r>
        <w:rPr>
          <w:rFonts w:hint="eastAsia" w:ascii="楷体_GB2312" w:hAnsi="楷体_GB2312" w:eastAsia="楷体_GB2312" w:cs="楷体_GB2312"/>
          <w:b/>
          <w:bCs w:val="0"/>
          <w:snapToGrid/>
          <w:color w:val="auto"/>
          <w:kern w:val="2"/>
          <w:sz w:val="32"/>
          <w:lang w:eastAsia="zh-CN"/>
        </w:rPr>
        <w:t>.</w:t>
      </w:r>
      <w:r>
        <w:rPr>
          <w:rFonts w:hint="eastAsia" w:ascii="楷体_GB2312" w:hAnsi="楷体_GB2312" w:eastAsia="楷体_GB2312" w:cs="楷体_GB2312"/>
          <w:b/>
          <w:bCs w:val="0"/>
          <w:snapToGrid/>
          <w:color w:val="auto"/>
          <w:kern w:val="2"/>
          <w:sz w:val="32"/>
          <w:lang w:val="en-US" w:eastAsia="zh-CN"/>
        </w:rPr>
        <w:t>1</w:t>
      </w:r>
      <w:r>
        <w:rPr>
          <w:rFonts w:hint="eastAsia" w:ascii="楷体_GB2312" w:hAnsi="楷体_GB2312" w:eastAsia="楷体_GB2312" w:cs="楷体_GB2312"/>
          <w:b/>
          <w:bCs w:val="0"/>
          <w:snapToGrid/>
          <w:color w:val="auto"/>
          <w:kern w:val="2"/>
          <w:sz w:val="32"/>
          <w:lang w:eastAsia="zh-CN"/>
        </w:rPr>
        <w:t xml:space="preserve">  总体框架</w:t>
      </w:r>
      <w:bookmarkEnd w:id="57"/>
      <w:bookmarkEnd w:id="58"/>
      <w:bookmarkEnd w:id="59"/>
      <w:bookmarkEnd w:id="60"/>
      <w:bookmarkEnd w:id="61"/>
      <w:bookmarkEnd w:id="62"/>
      <w:bookmarkEnd w:id="63"/>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以政策、制度、标准、需求为基础，以网络安全为保障，搭建“立体感知”、“自动控制”、“支撑保障”、“智慧应用”、“共享交换”五大体系（具体框架图见附件）。各灌区可根据实际情况</w:t>
      </w:r>
      <w:r>
        <w:rPr>
          <w:rFonts w:hint="eastAsia" w:ascii="Times New Roman" w:hAnsi="Times New Roman" w:eastAsia="仿宋_GB2312"/>
          <w:color w:val="auto"/>
          <w:sz w:val="32"/>
          <w:lang w:val="en-US" w:eastAsia="zh-CN"/>
        </w:rPr>
        <w:t>选择建设</w:t>
      </w:r>
      <w:r>
        <w:rPr>
          <w:rFonts w:hint="eastAsia" w:ascii="Times New Roman" w:hAnsi="Times New Roman" w:eastAsia="仿宋_GB2312"/>
          <w:color w:val="auto"/>
          <w:sz w:val="32"/>
          <w:lang w:eastAsia="zh-CN"/>
        </w:rPr>
        <w:t>，主要包括以下内容。</w:t>
      </w:r>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.1  立体感知体系包括用水量、工情、雨情、墒情和水事影像等信息的监测。</w:t>
      </w:r>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.2  自动控制体系包括闸门控制系统、泵站控制系统等。</w:t>
      </w:r>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.3  支撑保障体系包括管理中心/分中心、应用支撑平台、数据中心和通信网络等。</w:t>
      </w:r>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.4  智慧应用体系包括灌区一张图、监测预警、供用水管理、工程管理、防汛管理、综合信息管理、系统管理等主要业务模块。</w:t>
      </w:r>
    </w:p>
    <w:p>
      <w:pPr>
        <w:pageBreakBefore w:val="0"/>
        <w:tabs>
          <w:tab w:val="left" w:pos="576"/>
          <w:tab w:val="left" w:pos="2702"/>
        </w:tabs>
        <w:kinsoku/>
        <w:wordWrap/>
        <w:overflowPunct w:val="0"/>
        <w:topLinePunct w:val="0"/>
        <w:bidi w:val="0"/>
        <w:adjustRightInd w:val="0"/>
        <w:spacing w:line="578" w:lineRule="exact"/>
        <w:ind w:firstLine="640" w:firstLineChars="200"/>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.5  共享交换体系指中型灌区信息化建设应实现与省平台数据共享交换，包括基础数据、空间数据、监测数据、业务数据等信息，规定数据项、数据格式、共享方式、共享频次等要求。</w:t>
      </w:r>
    </w:p>
    <w:p>
      <w:pPr>
        <w:pageBreakBefore w:val="0"/>
        <w:tabs>
          <w:tab w:val="left" w:pos="576"/>
          <w:tab w:val="left" w:pos="2702"/>
        </w:tabs>
        <w:kinsoku/>
        <w:wordWrap/>
        <w:overflowPunct w:val="0"/>
        <w:topLinePunct w:val="0"/>
        <w:bidi w:val="0"/>
        <w:adjustRightInd w:val="0"/>
        <w:spacing w:line="578" w:lineRule="exact"/>
        <w:ind w:firstLine="0" w:firstLineChars="0"/>
        <w:outlineLvl w:val="1"/>
        <w:rPr>
          <w:rFonts w:hint="eastAsia" w:ascii="楷体_GB2312" w:hAnsi="楷体_GB2312" w:eastAsia="楷体_GB2312" w:cs="楷体_GB2312"/>
          <w:b/>
          <w:snapToGrid/>
          <w:color w:val="auto"/>
          <w:kern w:val="2"/>
          <w:sz w:val="32"/>
          <w:szCs w:val="32"/>
          <w:lang w:eastAsia="zh-CN"/>
        </w:rPr>
      </w:pPr>
      <w:bookmarkStart w:id="65" w:name="_Toc324081389"/>
      <w:bookmarkStart w:id="66" w:name="_Toc1526045823"/>
      <w:bookmarkStart w:id="67" w:name="_Toc586819381"/>
      <w:bookmarkStart w:id="68" w:name="_Toc1549182569"/>
      <w:bookmarkStart w:id="69" w:name="_Toc1092898829"/>
      <w:bookmarkStart w:id="70" w:name="_Toc881209545"/>
      <w:r>
        <w:rPr>
          <w:rFonts w:hint="eastAsia" w:ascii="楷体_GB2312" w:hAnsi="楷体_GB2312" w:eastAsia="楷体_GB2312" w:cs="楷体_GB2312"/>
          <w:b/>
          <w:snapToGrid/>
          <w:color w:val="auto"/>
          <w:kern w:val="2"/>
          <w:sz w:val="32"/>
          <w:szCs w:val="32"/>
          <w:lang w:eastAsia="zh-CN"/>
        </w:rPr>
        <w:t>2.</w:t>
      </w:r>
      <w:r>
        <w:rPr>
          <w:rFonts w:hint="eastAsia" w:ascii="楷体_GB2312" w:hAnsi="楷体_GB2312" w:eastAsia="楷体_GB2312" w:cs="楷体_GB2312"/>
          <w:b/>
          <w:snapToGrid/>
          <w:color w:val="auto"/>
          <w:kern w:val="2"/>
          <w:sz w:val="32"/>
          <w:szCs w:val="32"/>
          <w:lang w:val="en-US" w:eastAsia="zh-CN"/>
        </w:rPr>
        <w:t xml:space="preserve">2  </w:t>
      </w:r>
      <w:r>
        <w:rPr>
          <w:rFonts w:hint="eastAsia" w:ascii="楷体_GB2312" w:hAnsi="楷体_GB2312" w:eastAsia="楷体_GB2312" w:cs="楷体_GB2312"/>
          <w:b/>
          <w:snapToGrid/>
          <w:color w:val="auto"/>
          <w:kern w:val="2"/>
          <w:sz w:val="32"/>
          <w:szCs w:val="32"/>
          <w:lang w:eastAsia="zh-CN"/>
        </w:rPr>
        <w:t>建设分级</w:t>
      </w:r>
      <w:bookmarkEnd w:id="64"/>
      <w:bookmarkEnd w:id="65"/>
      <w:bookmarkEnd w:id="66"/>
      <w:bookmarkEnd w:id="67"/>
      <w:bookmarkEnd w:id="68"/>
      <w:bookmarkEnd w:id="69"/>
      <w:bookmarkEnd w:id="70"/>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2.</w:t>
      </w: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.1  中型灌区信息化应按照“基础级、中级、高级”三个等级因地制宜分级建设。</w:t>
      </w:r>
    </w:p>
    <w:p>
      <w:pPr>
        <w:pStyle w:val="29"/>
        <w:pageBreakBefore w:val="0"/>
        <w:numPr>
          <w:ilvl w:val="-1"/>
          <w:numId w:val="0"/>
        </w:numPr>
        <w:suppressAutoHyphens/>
        <w:kinsoku/>
        <w:wordWrap/>
        <w:overflowPunct w:val="0"/>
        <w:topLinePunct w:val="0"/>
        <w:autoSpaceDE/>
        <w:autoSpaceDN/>
        <w:bidi w:val="0"/>
        <w:adjustRightInd w:val="0"/>
        <w:spacing w:line="578" w:lineRule="exact"/>
        <w:ind w:left="0"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“基础级”指部分开展了信息采集与传输、远程控制等基础设施配套建设，构建了功能简单的管理平台。</w:t>
      </w:r>
    </w:p>
    <w:p>
      <w:pPr>
        <w:pStyle w:val="29"/>
        <w:pageBreakBefore w:val="0"/>
        <w:numPr>
          <w:ilvl w:val="-1"/>
          <w:numId w:val="0"/>
        </w:numPr>
        <w:suppressAutoHyphens/>
        <w:kinsoku/>
        <w:wordWrap/>
        <w:overflowPunct w:val="0"/>
        <w:topLinePunct w:val="0"/>
        <w:autoSpaceDE/>
        <w:autoSpaceDN/>
        <w:bidi w:val="0"/>
        <w:adjustRightInd w:val="0"/>
        <w:spacing w:line="578" w:lineRule="exact"/>
        <w:ind w:left="0"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“中级”指实现骨干工程关键节点的信息采集与传输、远程控制等基础设施配套建设，构建了功能较为齐全的管理平台。</w:t>
      </w:r>
    </w:p>
    <w:p>
      <w:pPr>
        <w:pStyle w:val="29"/>
        <w:pageBreakBefore w:val="0"/>
        <w:numPr>
          <w:ilvl w:val="-1"/>
          <w:numId w:val="0"/>
        </w:numPr>
        <w:suppressAutoHyphens/>
        <w:kinsoku/>
        <w:wordWrap/>
        <w:overflowPunct w:val="0"/>
        <w:topLinePunct w:val="0"/>
        <w:autoSpaceDE/>
        <w:autoSpaceDN/>
        <w:bidi w:val="0"/>
        <w:adjustRightInd w:val="0"/>
        <w:spacing w:line="578" w:lineRule="exact"/>
        <w:ind w:left="0"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lang w:eastAsia="zh-CN"/>
        </w:rPr>
        <w:t xml:space="preserve">“高级”指实现了覆盖灌区主要管理对象工情、水情的采集、传输和远程控制，开发基于一张图的管理平台，基本实现“四预”功能，具备数字化灌区的基础。 </w:t>
      </w:r>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highlight w:val="yellow"/>
          <w:lang w:eastAsia="zh-CN"/>
        </w:rPr>
      </w:pPr>
      <w:r>
        <w:rPr>
          <w:rFonts w:hint="eastAsia" w:ascii="Times New Roman" w:hAnsi="Times New Roman" w:eastAsia="仿宋_GB2312"/>
          <w:color w:val="auto"/>
          <w:sz w:val="32"/>
          <w:lang w:eastAsia="zh-CN"/>
        </w:rPr>
        <w:t>2.</w:t>
      </w: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.2  灌区信息化系统建设应结合建设分级要求进行优先级建设，具体建设内容详见附件</w:t>
      </w:r>
      <w:r>
        <w:rPr>
          <w:rFonts w:hint="eastAsia" w:ascii="Times New Roman" w:hAnsi="Times New Roman" w:eastAsia="仿宋_GB2312"/>
          <w:color w:val="auto"/>
          <w:sz w:val="32"/>
          <w:lang w:val="en-US" w:eastAsia="zh-CN"/>
        </w:rPr>
        <w:t>1</w:t>
      </w:r>
      <w:r>
        <w:rPr>
          <w:rFonts w:hint="eastAsia" w:ascii="Times New Roman" w:hAnsi="Times New Roman" w:eastAsia="仿宋_GB2312"/>
          <w:color w:val="auto"/>
          <w:sz w:val="32"/>
          <w:lang w:eastAsia="zh-CN"/>
        </w:rPr>
        <w:t>。</w:t>
      </w:r>
    </w:p>
    <w:p>
      <w:pPr>
        <w:pStyle w:val="3"/>
        <w:pageBreakBefore w:val="0"/>
        <w:numPr>
          <w:ilvl w:val="255"/>
          <w:numId w:val="0"/>
        </w:numPr>
        <w:wordWrap/>
        <w:topLinePunct w:val="0"/>
        <w:bidi w:val="0"/>
        <w:adjustRightInd w:val="0"/>
        <w:spacing w:before="0" w:after="0" w:line="578" w:lineRule="exact"/>
        <w:jc w:val="both"/>
        <w:rPr>
          <w:rFonts w:hint="eastAsia" w:ascii="楷体_GB2312" w:hAnsi="楷体_GB2312" w:eastAsia="楷体_GB2312" w:cs="楷体_GB2312"/>
          <w:b/>
          <w:snapToGrid/>
          <w:color w:val="auto"/>
          <w:kern w:val="2"/>
          <w:sz w:val="32"/>
          <w:lang w:eastAsia="zh-CN"/>
        </w:rPr>
      </w:pPr>
      <w:bookmarkStart w:id="71" w:name="_Toc901026261"/>
      <w:bookmarkStart w:id="72" w:name="_Toc992211651"/>
      <w:bookmarkStart w:id="73" w:name="_Toc1209444020"/>
      <w:bookmarkStart w:id="74" w:name="_Toc1335781551"/>
      <w:bookmarkStart w:id="75" w:name="_Toc2082959190"/>
      <w:bookmarkStart w:id="76" w:name="_Toc1859719245"/>
      <w:bookmarkStart w:id="77" w:name="_Toc1903831296"/>
      <w:bookmarkStart w:id="78" w:name="_Toc1513387943"/>
      <w:r>
        <w:rPr>
          <w:rFonts w:hint="eastAsia" w:ascii="楷体_GB2312" w:hAnsi="楷体_GB2312" w:eastAsia="楷体_GB2312" w:cs="楷体_GB2312"/>
          <w:b/>
          <w:snapToGrid/>
          <w:color w:val="auto"/>
          <w:kern w:val="2"/>
          <w:sz w:val="32"/>
          <w:lang w:eastAsia="zh-CN"/>
        </w:rPr>
        <w:t>2.</w:t>
      </w:r>
      <w:r>
        <w:rPr>
          <w:rFonts w:hint="eastAsia" w:ascii="楷体_GB2312" w:hAnsi="楷体_GB2312" w:eastAsia="楷体_GB2312" w:cs="楷体_GB2312"/>
          <w:b/>
          <w:snapToGrid/>
          <w:color w:val="auto"/>
          <w:kern w:val="2"/>
          <w:sz w:val="32"/>
          <w:lang w:val="en-US" w:eastAsia="zh-CN"/>
        </w:rPr>
        <w:t xml:space="preserve">3  </w:t>
      </w:r>
      <w:r>
        <w:rPr>
          <w:rFonts w:hint="eastAsia" w:ascii="楷体_GB2312" w:hAnsi="楷体_GB2312" w:eastAsia="楷体_GB2312" w:cs="楷体_GB2312"/>
          <w:b/>
          <w:snapToGrid/>
          <w:color w:val="auto"/>
          <w:kern w:val="2"/>
          <w:sz w:val="32"/>
          <w:lang w:eastAsia="zh-CN"/>
        </w:rPr>
        <w:t>总体要求</w:t>
      </w:r>
      <w:bookmarkEnd w:id="71"/>
      <w:bookmarkEnd w:id="72"/>
      <w:bookmarkEnd w:id="73"/>
      <w:bookmarkEnd w:id="74"/>
      <w:bookmarkEnd w:id="75"/>
      <w:bookmarkEnd w:id="76"/>
      <w:bookmarkEnd w:id="77"/>
      <w:bookmarkEnd w:id="78"/>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2.</w:t>
      </w: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lang w:eastAsia="zh-CN"/>
        </w:rPr>
        <w:t>.1 中型灌区信息化以县级为单位统筹集中建设数据中心和灌区管理信息化软件系统。统筹完成3个重点：数据中心、数据资源和业务应用，灌区已建数据中心或县级已有可利用数据中心的，优先考虑扩展利用；灌区信息化建设数据资源要实现共建共享，重点与所在行政区智慧水利平台、省级灌区监管系统实现共建共享；已建灌区管理信息化系统的，可进行改造升级与拓展复用。</w:t>
      </w:r>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2.</w:t>
      </w: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lang w:eastAsia="zh-CN"/>
        </w:rPr>
        <w:t>.2  已建信息化设施，应结合本技术指南要求进行提档升级，按《水文监测数据通信规约》（SL</w:t>
      </w:r>
      <w:r>
        <w:rPr>
          <w:rFonts w:hint="eastAsia" w:ascii="Times New Roman" w:hAnsi="Times New Roman" w:eastAsia="仿宋_GB2312"/>
          <w:color w:val="auto"/>
          <w:sz w:val="32"/>
          <w:lang w:val="en-US" w:eastAsia="zh-CN"/>
        </w:rPr>
        <w:t xml:space="preserve">/T </w:t>
      </w:r>
      <w:r>
        <w:rPr>
          <w:rFonts w:hint="eastAsia" w:ascii="Times New Roman" w:hAnsi="Times New Roman" w:eastAsia="仿宋_GB2312"/>
          <w:color w:val="auto"/>
          <w:sz w:val="32"/>
          <w:lang w:eastAsia="zh-CN"/>
        </w:rPr>
        <w:t>651）、《四川省水文数据通信传输指南》（DB51/T 2997）要求，实现灌区和</w:t>
      </w:r>
      <w:r>
        <w:rPr>
          <w:rFonts w:ascii="Times New Roman" w:hAnsi="Times New Roman" w:eastAsia="仿宋_GB2312"/>
          <w:color w:val="auto"/>
          <w:sz w:val="32"/>
          <w:lang w:eastAsia="zh-CN"/>
        </w:rPr>
        <w:t>县</w:t>
      </w:r>
      <w:r>
        <w:rPr>
          <w:rFonts w:hint="eastAsia" w:ascii="Times New Roman" w:hAnsi="Times New Roman" w:eastAsia="仿宋_GB2312"/>
          <w:color w:val="auto"/>
          <w:sz w:val="32"/>
          <w:lang w:eastAsia="zh-CN"/>
        </w:rPr>
        <w:t>级平台的数据互联互通。</w:t>
      </w:r>
    </w:p>
    <w:p>
      <w:pPr>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2.</w:t>
      </w: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lang w:eastAsia="zh-CN"/>
        </w:rPr>
        <w:t>.3 已建灌区信息化管理平台的灌区，应结合数据共享要求，预留接口，通过互联网实现灌区和县级、市级、省级灌区平台的数据互联互通。</w:t>
      </w:r>
    </w:p>
    <w:p>
      <w:pPr>
        <w:spacing w:line="578" w:lineRule="exact"/>
        <w:rPr>
          <w:color w:val="auto"/>
          <w:lang w:eastAsia="zh-CN"/>
        </w:rPr>
      </w:pP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sectPr>
          <w:footerReference r:id="rId7" w:type="default"/>
          <w:pgSz w:w="11907" w:h="16839"/>
          <w:pgMar w:top="1425" w:right="1785" w:bottom="1664" w:left="1785" w:header="0" w:footer="1458" w:gutter="0"/>
          <w:pgNumType w:fmt="numberInDash"/>
          <w:cols w:space="720" w:num="1"/>
        </w:sectPr>
      </w:pPr>
    </w:p>
    <w:p>
      <w:pPr>
        <w:pStyle w:val="2"/>
        <w:keepNext w:val="0"/>
        <w:keepLines w:val="0"/>
        <w:widowControl w:val="0"/>
        <w:kinsoku/>
        <w:overflowPunct w:val="0"/>
        <w:autoSpaceDE/>
        <w:autoSpaceDN/>
        <w:adjustRightInd/>
        <w:snapToGrid/>
        <w:spacing w:line="578" w:lineRule="exact"/>
        <w:ind w:firstLine="0"/>
        <w:textAlignment w:val="auto"/>
        <w:rPr>
          <w:rFonts w:ascii="Times New Roman" w:hAnsi="Times New Roman" w:eastAsia="黑体" w:cs="Times New Roman"/>
          <w:snapToGrid/>
          <w:color w:val="auto"/>
          <w:lang w:eastAsia="zh-CN"/>
        </w:rPr>
      </w:pPr>
      <w:bookmarkStart w:id="79" w:name="bookmark17"/>
      <w:bookmarkEnd w:id="79"/>
      <w:bookmarkStart w:id="80" w:name="bookmark16"/>
      <w:bookmarkEnd w:id="80"/>
      <w:bookmarkStart w:id="81" w:name="bookmark19"/>
      <w:bookmarkEnd w:id="81"/>
      <w:bookmarkStart w:id="82" w:name="_Toc523797929"/>
      <w:bookmarkStart w:id="83" w:name="_Toc1069800119"/>
      <w:bookmarkStart w:id="84" w:name="_Toc896974923"/>
      <w:bookmarkStart w:id="85" w:name="_Toc1863381154"/>
      <w:bookmarkStart w:id="86" w:name="_Toc1284354973"/>
      <w:bookmarkStart w:id="87" w:name="_Toc455907507"/>
      <w:bookmarkStart w:id="88" w:name="_Toc72811376"/>
      <w:bookmarkStart w:id="89" w:name="_Toc131466316"/>
      <w:r>
        <w:rPr>
          <w:rFonts w:hint="eastAsia" w:ascii="Times New Roman" w:hAnsi="Times New Roman" w:eastAsia="黑体" w:cs="Times New Roman"/>
          <w:snapToGrid/>
          <w:color w:val="auto"/>
          <w:lang w:eastAsia="zh-CN"/>
        </w:rPr>
        <w:t>立体感知体系</w:t>
      </w:r>
      <w:bookmarkEnd w:id="82"/>
      <w:bookmarkEnd w:id="83"/>
      <w:bookmarkEnd w:id="84"/>
      <w:bookmarkEnd w:id="85"/>
      <w:bookmarkEnd w:id="86"/>
      <w:bookmarkEnd w:id="87"/>
      <w:bookmarkEnd w:id="88"/>
      <w:bookmarkEnd w:id="89"/>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90" w:name="bookmark18"/>
      <w:bookmarkEnd w:id="90"/>
      <w:bookmarkStart w:id="91" w:name="_Toc640626695"/>
      <w:bookmarkStart w:id="92" w:name="_Toc522377926"/>
      <w:bookmarkStart w:id="93" w:name="_Toc937820990"/>
      <w:bookmarkStart w:id="94" w:name="_Toc2037357974"/>
      <w:bookmarkStart w:id="95" w:name="_Toc1039698215"/>
      <w:bookmarkStart w:id="96" w:name="_Toc1250781403"/>
      <w:bookmarkStart w:id="97" w:name="_Toc463301026"/>
      <w:bookmarkStart w:id="98" w:name="_Toc1317942541"/>
      <w:r>
        <w:rPr>
          <w:rFonts w:hint="eastAsia" w:ascii="楷体_GB2312" w:hAnsi="楷体_GB2312" w:eastAsia="楷体_GB2312" w:cs="楷体_GB2312"/>
          <w:b/>
          <w:bCs w:val="0"/>
          <w:snapToGrid/>
          <w:color w:val="auto"/>
          <w:kern w:val="2"/>
          <w:sz w:val="32"/>
          <w:lang w:eastAsia="zh-CN"/>
        </w:rPr>
        <w:t>3.1  一般要求</w:t>
      </w:r>
      <w:bookmarkEnd w:id="91"/>
      <w:bookmarkEnd w:id="92"/>
      <w:bookmarkEnd w:id="93"/>
      <w:bookmarkEnd w:id="94"/>
      <w:bookmarkEnd w:id="95"/>
      <w:bookmarkEnd w:id="96"/>
      <w:bookmarkEnd w:id="97"/>
      <w:bookmarkEnd w:id="98"/>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3.1.1  立体感知体系宜涵盖用水量测、工情监测、雨情监测、墒情监测和水事影像监测等。</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3.1.2  灌区应基于地形条件和管理需求，利用3S、智能识别、多媒体、物联网、移动互联网等各种技术，汇集多种类型的传感终端，构建“空天地”一体的立体感知系统。有条件的地区可建立无人机基地及系统。</w:t>
      </w:r>
      <w:r>
        <w:rPr>
          <w:rFonts w:hint="eastAsia" w:ascii="Times New Roman" w:hAnsi="Times New Roman" w:eastAsia="仿宋_GB2312"/>
          <w:color w:val="auto"/>
          <w:sz w:val="32"/>
          <w:lang w:eastAsia="zh-CN"/>
        </w:rPr>
        <w:tab/>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jc w:val="both"/>
        <w:rPr>
          <w:color w:val="auto"/>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 xml:space="preserve"> 3.1.3 数据传输遵循国家、地方、行业标准，支持标准传输协议《水文监测数据通信规约》（SL</w:t>
      </w:r>
      <w:r>
        <w:rPr>
          <w:rFonts w:hint="eastAsia" w:ascii="Times New Roman" w:hAnsi="Times New Roman" w:eastAsia="仿宋_GB2312"/>
          <w:color w:val="auto"/>
          <w:sz w:val="32"/>
          <w:lang w:val="en-US" w:eastAsia="zh-CN"/>
        </w:rPr>
        <w:t xml:space="preserve">/T </w:t>
      </w:r>
      <w:r>
        <w:rPr>
          <w:rFonts w:hint="eastAsia" w:ascii="Times New Roman" w:hAnsi="Times New Roman" w:eastAsia="仿宋_GB2312"/>
          <w:color w:val="auto"/>
          <w:sz w:val="32"/>
          <w:lang w:eastAsia="zh-CN"/>
        </w:rPr>
        <w:t>651）、《四川省水文数据通信传输指南》（DB51/T 2997）、《公共安全视频监控联网系统信息传输、交换、控制技术要求》（</w:t>
      </w:r>
      <w:r>
        <w:rPr>
          <w:rFonts w:ascii="Times New Roman" w:hAnsi="Times New Roman" w:eastAsia="仿宋_GB2312"/>
          <w:color w:val="auto"/>
          <w:sz w:val="32"/>
          <w:lang w:eastAsia="zh-CN"/>
        </w:rPr>
        <w:t>GB/T</w:t>
      </w:r>
      <w:r>
        <w:rPr>
          <w:rFonts w:hint="eastAsia" w:ascii="Times New Roman" w:hAnsi="Times New Roman" w:eastAsia="仿宋_GB2312"/>
          <w:color w:val="auto"/>
          <w:sz w:val="32"/>
          <w:lang w:val="en-US" w:eastAsia="zh-CN"/>
        </w:rPr>
        <w:t xml:space="preserve"> </w:t>
      </w:r>
      <w:r>
        <w:rPr>
          <w:rFonts w:ascii="Times New Roman" w:hAnsi="Times New Roman" w:eastAsia="仿宋_GB2312"/>
          <w:color w:val="auto"/>
          <w:sz w:val="32"/>
          <w:lang w:eastAsia="zh-CN"/>
        </w:rPr>
        <w:t>28181</w:t>
      </w:r>
      <w:r>
        <w:rPr>
          <w:rFonts w:hint="eastAsia" w:ascii="Times New Roman" w:hAnsi="Times New Roman" w:eastAsia="仿宋_GB2312"/>
          <w:color w:val="auto"/>
          <w:sz w:val="32"/>
          <w:lang w:eastAsia="zh-CN"/>
        </w:rPr>
        <w:t>），统一交互方式，实现标准化、规范化管理。</w:t>
      </w:r>
      <w:bookmarkStart w:id="99" w:name="bookmark20"/>
      <w:bookmarkEnd w:id="99"/>
      <w:bookmarkStart w:id="100" w:name="bookmark21"/>
      <w:bookmarkEnd w:id="100"/>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01" w:name="_Toc1161584211"/>
      <w:bookmarkStart w:id="102" w:name="_Toc810206192"/>
      <w:bookmarkStart w:id="103" w:name="_Toc1372898987"/>
      <w:bookmarkStart w:id="104" w:name="_Toc1642369821"/>
      <w:bookmarkStart w:id="105" w:name="_Toc1568064283"/>
      <w:bookmarkStart w:id="106" w:name="_Toc1256816954"/>
      <w:bookmarkStart w:id="107" w:name="_Toc1215156906"/>
      <w:bookmarkStart w:id="108" w:name="_Toc1912709650"/>
      <w:r>
        <w:rPr>
          <w:rFonts w:hint="eastAsia" w:ascii="楷体_GB2312" w:hAnsi="楷体_GB2312" w:eastAsia="楷体_GB2312" w:cs="楷体_GB2312"/>
          <w:b/>
          <w:bCs w:val="0"/>
          <w:snapToGrid/>
          <w:color w:val="auto"/>
          <w:kern w:val="2"/>
          <w:sz w:val="32"/>
          <w:lang w:eastAsia="zh-CN"/>
        </w:rPr>
        <w:t>3.2  用水量测系统</w:t>
      </w:r>
      <w:bookmarkEnd w:id="101"/>
      <w:bookmarkEnd w:id="102"/>
      <w:bookmarkEnd w:id="103"/>
      <w:bookmarkEnd w:id="104"/>
      <w:bookmarkEnd w:id="105"/>
      <w:bookmarkEnd w:id="106"/>
      <w:bookmarkEnd w:id="107"/>
      <w:bookmarkEnd w:id="108"/>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3.2.1  用水量测的基本要素为水位、流速、流量和水量，监测站布设应符合GB/T 28714、GB/T 21303的规定，且监测站数据能与其上下级站进行数据联动。</w:t>
      </w:r>
    </w:p>
    <w:p>
      <w:pPr>
        <w:keepNext w:val="0"/>
        <w:keepLines w:val="0"/>
        <w:pageBreakBefore w:val="0"/>
        <w:numPr>
          <w:ilvl w:val="255"/>
          <w:numId w:val="0"/>
        </w:numPr>
        <w:tabs>
          <w:tab w:val="left" w:pos="576"/>
          <w:tab w:val="left" w:pos="2702"/>
        </w:tabs>
        <w:kinsoku/>
        <w:wordWrap/>
        <w:overflowPunct w:val="0"/>
        <w:topLinePunct w:val="0"/>
        <w:bidi w:val="0"/>
        <w:spacing w:line="578" w:lineRule="exact"/>
        <w:ind w:firstLine="640" w:firstLineChars="200"/>
        <w:jc w:val="both"/>
        <w:rPr>
          <w:color w:val="auto"/>
          <w:lang w:eastAsia="zh-CN"/>
        </w:rPr>
      </w:pPr>
      <w:r>
        <w:rPr>
          <w:rFonts w:hint="eastAsia" w:ascii="Times New Roman" w:hAnsi="Times New Roman" w:eastAsia="仿宋_GB2312"/>
          <w:color w:val="auto"/>
          <w:sz w:val="32"/>
          <w:lang w:eastAsia="zh-CN"/>
        </w:rPr>
        <w:t>3.2.2  应根据灌区所在地域和规模、渠道特点以及水量调配、用水管理的要求，结合农业水价综合改革工作需要，在灌区渠首、骨干分水口，骨干工程和田间工程管理分界点等用水计量断面按需设置量水监测设备。</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3.2.3  量水测站布设应符合下列规定：</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1.应从水源出发，遵循“由上到下”和“先粗后细”的原则，视灌区分水渠系的复杂程度和量测工作量，逐步缩小量测单元。</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2.量测断面宜选择在干渠节制闸、支渠分水闸下游20倍最大水深的水流平稳的渠段上，宜于渠段顺直、渠基稳固、断面规则处布置测流断面和安装量水设备。</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3.当水流平顺，且不受闸门启闭和渠系建筑物壅水影响时，可以与水力性能良好的闸门等渠系建筑物结合设置量水设施。</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3.2.4  量水仪器基本参数及通用技术应符合GB/T 15966的有关规定。</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3.2.5  不同的量水断面应选择不同的仪器设备。</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1.一般明渠。设备选型应符合以下要求：</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snapToGrid/>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ascii="Times New Roman" w:hAnsi="Times New Roman" w:eastAsia="仿宋_GB2312"/>
          <w:color w:val="auto"/>
          <w:sz w:val="32"/>
          <w:lang w:eastAsia="zh-CN"/>
        </w:rPr>
        <w:t>a)</w:t>
      </w:r>
      <w:r>
        <w:rPr>
          <w:rFonts w:hint="eastAsia" w:ascii="Times New Roman" w:hAnsi="Times New Roman" w:eastAsia="仿宋_GB2312"/>
          <w:color w:val="auto"/>
          <w:sz w:val="32"/>
          <w:lang w:eastAsia="zh-CN"/>
        </w:rPr>
        <w:t>量水断面渠宽</w:t>
      </w:r>
      <w:r>
        <w:rPr>
          <w:rFonts w:ascii="Times New Roman" w:hAnsi="Times New Roman" w:eastAsia="仿宋_GB2312"/>
          <w:color w:val="auto"/>
          <w:sz w:val="32"/>
          <w:lang w:eastAsia="zh-CN"/>
        </w:rPr>
        <w:t>0</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b</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0.4m</w:t>
      </w:r>
      <w:r>
        <w:rPr>
          <w:rFonts w:hint="eastAsia" w:ascii="Times New Roman" w:hAnsi="Times New Roman" w:eastAsia="仿宋_GB2312"/>
          <w:color w:val="auto"/>
          <w:sz w:val="32"/>
          <w:lang w:eastAsia="zh-CN"/>
        </w:rPr>
        <w:t>，宜采用单点多普勒明渠流量计、多声道时差法超声波明渠测流箱、雷达水位计、超声波水位计、无吼道量水槽（水量充沛时适用）、巴歇尔槽（水量充沛时适用）等设备。</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snapToGrid/>
        <w:spacing w:line="578" w:lineRule="exact"/>
        <w:ind w:firstLine="640" w:firstLineChars="200"/>
        <w:jc w:val="both"/>
        <w:rPr>
          <w:rFonts w:ascii="Times New Roman" w:hAnsi="Times New Roman" w:eastAsia="仿宋_GB2312"/>
          <w:color w:val="auto"/>
          <w:sz w:val="32"/>
          <w:lang w:eastAsia="zh-CN"/>
        </w:rPr>
      </w:pPr>
      <w:r>
        <w:rPr>
          <w:rFonts w:ascii="Times New Roman" w:hAnsi="Times New Roman" w:eastAsia="仿宋_GB2312"/>
          <w:color w:val="auto"/>
          <w:sz w:val="32"/>
          <w:lang w:eastAsia="zh-CN"/>
        </w:rPr>
        <w:t>b)</w:t>
      </w:r>
      <w:r>
        <w:rPr>
          <w:rFonts w:hint="eastAsia" w:ascii="Times New Roman" w:hAnsi="Times New Roman" w:eastAsia="仿宋_GB2312"/>
          <w:color w:val="auto"/>
          <w:sz w:val="32"/>
          <w:lang w:eastAsia="zh-CN"/>
        </w:rPr>
        <w:t>量水断面渠宽</w:t>
      </w:r>
      <w:r>
        <w:rPr>
          <w:rFonts w:ascii="Times New Roman" w:hAnsi="Times New Roman" w:eastAsia="仿宋_GB2312"/>
          <w:color w:val="auto"/>
          <w:sz w:val="32"/>
          <w:lang w:eastAsia="zh-CN"/>
        </w:rPr>
        <w:t>0.4m</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b</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1m</w:t>
      </w:r>
      <w:r>
        <w:rPr>
          <w:rFonts w:hint="eastAsia" w:ascii="Times New Roman" w:hAnsi="Times New Roman" w:eastAsia="仿宋_GB2312"/>
          <w:color w:val="auto"/>
          <w:sz w:val="32"/>
          <w:lang w:eastAsia="zh-CN"/>
        </w:rPr>
        <w:t>，宜采用多声道时差法超声波明渠流量计、多声道时差法超声波明渠测流箱、单点多普勒明渠流量计、雷达水位计、超声波水位计、闸门量水等设备。</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snapToGrid/>
        <w:spacing w:line="578" w:lineRule="exact"/>
        <w:ind w:firstLine="640" w:firstLineChars="200"/>
        <w:jc w:val="both"/>
        <w:rPr>
          <w:rFonts w:ascii="Times New Roman" w:hAnsi="Times New Roman" w:eastAsia="仿宋_GB2312"/>
          <w:color w:val="auto"/>
          <w:sz w:val="32"/>
          <w:lang w:eastAsia="zh-CN"/>
        </w:rPr>
      </w:pPr>
      <w:r>
        <w:rPr>
          <w:rFonts w:ascii="Times New Roman" w:hAnsi="Times New Roman" w:eastAsia="仿宋_GB2312"/>
          <w:color w:val="auto"/>
          <w:sz w:val="32"/>
          <w:lang w:eastAsia="zh-CN"/>
        </w:rPr>
        <w:t>c)</w:t>
      </w:r>
      <w:r>
        <w:rPr>
          <w:rFonts w:hint="eastAsia" w:ascii="Times New Roman" w:hAnsi="Times New Roman" w:eastAsia="仿宋_GB2312"/>
          <w:color w:val="auto"/>
          <w:sz w:val="32"/>
          <w:lang w:eastAsia="zh-CN"/>
        </w:rPr>
        <w:t>量水断面渠宽</w:t>
      </w:r>
      <w:r>
        <w:rPr>
          <w:rFonts w:ascii="Times New Roman" w:hAnsi="Times New Roman" w:eastAsia="仿宋_GB2312"/>
          <w:color w:val="auto"/>
          <w:sz w:val="32"/>
          <w:lang w:eastAsia="zh-CN"/>
        </w:rPr>
        <w:t>1m</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b</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2m</w:t>
      </w:r>
      <w:r>
        <w:rPr>
          <w:rFonts w:hint="eastAsia" w:ascii="Times New Roman" w:hAnsi="Times New Roman" w:eastAsia="仿宋_GB2312"/>
          <w:color w:val="auto"/>
          <w:sz w:val="32"/>
          <w:lang w:eastAsia="zh-CN"/>
        </w:rPr>
        <w:t>，宜采用多声道时差法超声波明渠流量计、多声道时差法超声波明渠测流箱、雷达流量计（流速≥</w:t>
      </w:r>
      <w:r>
        <w:rPr>
          <w:rFonts w:ascii="Times New Roman" w:hAnsi="Times New Roman" w:eastAsia="仿宋_GB2312"/>
          <w:color w:val="auto"/>
          <w:sz w:val="32"/>
          <w:lang w:eastAsia="zh-CN"/>
        </w:rPr>
        <w:t>0.2m/s</w:t>
      </w:r>
      <w:r>
        <w:rPr>
          <w:rFonts w:hint="eastAsia" w:ascii="Times New Roman" w:hAnsi="Times New Roman" w:eastAsia="仿宋_GB2312"/>
          <w:color w:val="auto"/>
          <w:sz w:val="32"/>
          <w:lang w:eastAsia="zh-CN"/>
        </w:rPr>
        <w:t>适用）、单点多普勒明渠流量计、雷达水位计、超声波水位计、闸门量水等设备。</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snapToGrid/>
        <w:spacing w:line="578" w:lineRule="exact"/>
        <w:ind w:firstLine="640" w:firstLineChars="200"/>
        <w:jc w:val="both"/>
        <w:rPr>
          <w:rFonts w:ascii="Times New Roman" w:hAnsi="Times New Roman" w:eastAsia="仿宋_GB2312"/>
          <w:color w:val="auto"/>
          <w:sz w:val="32"/>
          <w:lang w:eastAsia="zh-CN"/>
        </w:rPr>
      </w:pPr>
      <w:r>
        <w:rPr>
          <w:rFonts w:ascii="Times New Roman" w:hAnsi="Times New Roman" w:eastAsia="仿宋_GB2312"/>
          <w:color w:val="auto"/>
          <w:sz w:val="32"/>
          <w:lang w:eastAsia="zh-CN"/>
        </w:rPr>
        <w:t>d)</w:t>
      </w:r>
      <w:r>
        <w:rPr>
          <w:rFonts w:hint="eastAsia" w:ascii="Times New Roman" w:hAnsi="Times New Roman" w:eastAsia="仿宋_GB2312"/>
          <w:color w:val="auto"/>
          <w:sz w:val="32"/>
          <w:lang w:eastAsia="zh-CN"/>
        </w:rPr>
        <w:t>量水断面渠宽</w:t>
      </w:r>
      <w:r>
        <w:rPr>
          <w:rFonts w:ascii="Times New Roman" w:hAnsi="Times New Roman" w:eastAsia="仿宋_GB2312"/>
          <w:color w:val="auto"/>
          <w:sz w:val="32"/>
          <w:lang w:eastAsia="zh-CN"/>
        </w:rPr>
        <w:t>2m</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b</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10m</w:t>
      </w:r>
      <w:r>
        <w:rPr>
          <w:rFonts w:hint="eastAsia" w:ascii="Times New Roman" w:hAnsi="Times New Roman" w:eastAsia="仿宋_GB2312"/>
          <w:color w:val="auto"/>
          <w:sz w:val="32"/>
          <w:lang w:eastAsia="zh-CN"/>
        </w:rPr>
        <w:t>，宜采用多声道时差法超声波明渠流量计、雷达流量计（流速≥</w:t>
      </w:r>
      <w:r>
        <w:rPr>
          <w:rFonts w:ascii="Times New Roman" w:hAnsi="Times New Roman" w:eastAsia="仿宋_GB2312"/>
          <w:color w:val="auto"/>
          <w:sz w:val="32"/>
          <w:lang w:eastAsia="zh-CN"/>
        </w:rPr>
        <w:t>0.2m/s</w:t>
      </w:r>
      <w:r>
        <w:rPr>
          <w:rFonts w:hint="eastAsia" w:ascii="Times New Roman" w:hAnsi="Times New Roman" w:eastAsia="仿宋_GB2312"/>
          <w:color w:val="auto"/>
          <w:sz w:val="32"/>
          <w:lang w:eastAsia="zh-CN"/>
        </w:rPr>
        <w:t>适用）、雷达水位计、超声波水位计、闸门量水等设备。</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snapToGrid/>
        <w:spacing w:line="578" w:lineRule="exact"/>
        <w:ind w:firstLine="640" w:firstLineChars="200"/>
        <w:jc w:val="both"/>
        <w:rPr>
          <w:rFonts w:ascii="Times New Roman" w:hAnsi="Times New Roman" w:eastAsia="仿宋_GB2312"/>
          <w:color w:val="auto"/>
          <w:sz w:val="32"/>
          <w:lang w:eastAsia="zh-CN"/>
        </w:rPr>
      </w:pPr>
      <w:r>
        <w:rPr>
          <w:rFonts w:ascii="Times New Roman" w:hAnsi="Times New Roman" w:eastAsia="仿宋_GB2312"/>
          <w:color w:val="auto"/>
          <w:sz w:val="32"/>
          <w:lang w:eastAsia="zh-CN"/>
        </w:rPr>
        <w:t>e)</w:t>
      </w:r>
      <w:r>
        <w:rPr>
          <w:rFonts w:hint="eastAsia" w:ascii="Times New Roman" w:hAnsi="Times New Roman" w:eastAsia="仿宋_GB2312"/>
          <w:color w:val="auto"/>
          <w:sz w:val="32"/>
          <w:lang w:eastAsia="zh-CN"/>
        </w:rPr>
        <w:t>量水断面渠宽</w:t>
      </w:r>
      <w:r>
        <w:rPr>
          <w:rFonts w:ascii="Times New Roman" w:hAnsi="Times New Roman" w:eastAsia="仿宋_GB2312"/>
          <w:color w:val="auto"/>
          <w:sz w:val="32"/>
          <w:lang w:eastAsia="zh-CN"/>
        </w:rPr>
        <w:t>10m</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b</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25m</w:t>
      </w:r>
      <w:r>
        <w:rPr>
          <w:rFonts w:hint="eastAsia" w:ascii="Times New Roman" w:hAnsi="Times New Roman" w:eastAsia="仿宋_GB2312"/>
          <w:color w:val="auto"/>
          <w:sz w:val="32"/>
          <w:lang w:eastAsia="zh-CN"/>
        </w:rPr>
        <w:t>，宜采用多声道时差法超声波明渠流量计、</w:t>
      </w:r>
      <w:r>
        <w:rPr>
          <w:rFonts w:ascii="Times New Roman" w:hAnsi="Times New Roman" w:eastAsia="仿宋_GB2312"/>
          <w:color w:val="auto"/>
          <w:sz w:val="32"/>
          <w:lang w:eastAsia="zh-CN"/>
        </w:rPr>
        <w:t>ADCP</w:t>
      </w:r>
      <w:r>
        <w:rPr>
          <w:rFonts w:hint="eastAsia" w:ascii="Times New Roman" w:hAnsi="Times New Roman" w:eastAsia="仿宋_GB2312"/>
          <w:color w:val="auto"/>
          <w:sz w:val="32"/>
          <w:lang w:eastAsia="zh-CN"/>
        </w:rPr>
        <w:t>多普勒流量计、雷达明渠流量计矩阵（流速≥</w:t>
      </w:r>
      <w:r>
        <w:rPr>
          <w:rFonts w:ascii="Times New Roman" w:hAnsi="Times New Roman" w:eastAsia="仿宋_GB2312"/>
          <w:color w:val="auto"/>
          <w:sz w:val="32"/>
          <w:lang w:eastAsia="zh-CN"/>
        </w:rPr>
        <w:t>0.2m/s</w:t>
      </w:r>
      <w:r>
        <w:rPr>
          <w:rFonts w:hint="eastAsia" w:ascii="Times New Roman" w:hAnsi="Times New Roman" w:eastAsia="仿宋_GB2312"/>
          <w:color w:val="auto"/>
          <w:sz w:val="32"/>
          <w:lang w:eastAsia="zh-CN"/>
        </w:rPr>
        <w:t>适用）等设备，有条件的可以建设轨道测流车系统。</w:t>
      </w:r>
    </w:p>
    <w:p>
      <w:pPr>
        <w:pStyle w:val="13"/>
        <w:keepNext w:val="0"/>
        <w:keepLines w:val="0"/>
        <w:pageBreakBefore w:val="0"/>
        <w:wordWrap/>
        <w:topLinePunct w:val="0"/>
        <w:bidi w:val="0"/>
        <w:adjustRightInd/>
        <w:snapToGrid/>
        <w:spacing w:line="578" w:lineRule="exact"/>
        <w:ind w:left="0" w:leftChars="0" w:firstLine="644"/>
        <w:rPr>
          <w:rFonts w:ascii="Times New Roman" w:hAnsi="Times New Roman" w:eastAsia="仿宋_GB2312"/>
          <w:color w:val="auto"/>
          <w:sz w:val="32"/>
          <w:lang w:eastAsia="zh-CN"/>
        </w:rPr>
      </w:pPr>
      <w:r>
        <w:rPr>
          <w:rFonts w:ascii="Times New Roman" w:hAnsi="Times New Roman" w:eastAsia="仿宋_GB2312"/>
          <w:color w:val="auto"/>
          <w:sz w:val="32"/>
          <w:lang w:eastAsia="zh-CN"/>
        </w:rPr>
        <w:t>f)</w:t>
      </w:r>
      <w:r>
        <w:rPr>
          <w:rFonts w:hint="eastAsia" w:ascii="Times New Roman" w:hAnsi="Times New Roman" w:eastAsia="仿宋_GB2312"/>
          <w:color w:val="auto"/>
          <w:sz w:val="32"/>
          <w:lang w:eastAsia="zh-CN"/>
        </w:rPr>
        <w:t>量水断面渠宽</w:t>
      </w:r>
      <w:r>
        <w:rPr>
          <w:rFonts w:ascii="Times New Roman" w:hAnsi="Times New Roman" w:eastAsia="仿宋_GB2312"/>
          <w:color w:val="auto"/>
          <w:sz w:val="32"/>
          <w:lang w:eastAsia="zh-CN"/>
        </w:rPr>
        <w:t>b</w:t>
      </w:r>
      <w:r>
        <w:rPr>
          <w:rFonts w:hint="eastAsia" w:ascii="Times New Roman" w:hAnsi="Times New Roman" w:eastAsia="仿宋_GB2312"/>
          <w:color w:val="auto"/>
          <w:sz w:val="32"/>
          <w:lang w:eastAsia="zh-CN"/>
        </w:rPr>
        <w:t>＞</w:t>
      </w:r>
      <w:r>
        <w:rPr>
          <w:rFonts w:ascii="Times New Roman" w:hAnsi="Times New Roman" w:eastAsia="仿宋_GB2312"/>
          <w:color w:val="auto"/>
          <w:sz w:val="32"/>
          <w:lang w:eastAsia="zh-CN"/>
        </w:rPr>
        <w:t>25m</w:t>
      </w:r>
      <w:r>
        <w:rPr>
          <w:rFonts w:hint="eastAsia" w:ascii="Times New Roman" w:hAnsi="Times New Roman" w:eastAsia="仿宋_GB2312"/>
          <w:color w:val="auto"/>
          <w:sz w:val="32"/>
          <w:lang w:eastAsia="zh-CN"/>
        </w:rPr>
        <w:t>，宜采用大量程多声道时差法超声波明渠流量计、</w:t>
      </w:r>
      <w:r>
        <w:rPr>
          <w:rFonts w:ascii="Times New Roman" w:hAnsi="Times New Roman" w:eastAsia="仿宋_GB2312"/>
          <w:color w:val="auto"/>
          <w:sz w:val="32"/>
          <w:lang w:eastAsia="zh-CN"/>
        </w:rPr>
        <w:t>ADCP</w:t>
      </w:r>
      <w:r>
        <w:rPr>
          <w:rFonts w:hint="eastAsia" w:ascii="Times New Roman" w:hAnsi="Times New Roman" w:eastAsia="仿宋_GB2312"/>
          <w:color w:val="auto"/>
          <w:sz w:val="32"/>
          <w:lang w:eastAsia="zh-CN"/>
        </w:rPr>
        <w:t>多普勒流量计、扫波雷达（流速≥</w:t>
      </w:r>
      <w:r>
        <w:rPr>
          <w:rFonts w:ascii="Times New Roman" w:hAnsi="Times New Roman" w:eastAsia="仿宋_GB2312"/>
          <w:color w:val="auto"/>
          <w:sz w:val="32"/>
          <w:lang w:eastAsia="zh-CN"/>
        </w:rPr>
        <w:t>0.2m/s</w:t>
      </w:r>
      <w:r>
        <w:rPr>
          <w:rFonts w:hint="eastAsia" w:ascii="Times New Roman" w:hAnsi="Times New Roman" w:eastAsia="仿宋_GB2312"/>
          <w:color w:val="auto"/>
          <w:sz w:val="32"/>
          <w:lang w:eastAsia="zh-CN"/>
        </w:rPr>
        <w:t>适用）和缆道测流系统等设备。</w:t>
      </w:r>
    </w:p>
    <w:p>
      <w:pPr>
        <w:pStyle w:val="13"/>
        <w:keepNext w:val="0"/>
        <w:keepLines w:val="0"/>
        <w:pageBreakBefore w:val="0"/>
        <w:wordWrap/>
        <w:topLinePunct w:val="0"/>
        <w:bidi w:val="0"/>
        <w:adjustRightInd/>
        <w:snapToGrid/>
        <w:spacing w:line="578" w:lineRule="exact"/>
        <w:ind w:left="0" w:leftChars="0" w:firstLine="644"/>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2.标准断面。对水流平顺、流态均匀、无明显冲刷或淤积现象、水位流量关系稳定的渠道断面，宜采用浮子式水位计、压力式水位计、超声波水位计、雷达水位计等设施设备进行水位观测，并通过建立水位流量关系曲线测量流量。</w:t>
      </w:r>
    </w:p>
    <w:p>
      <w:pPr>
        <w:pStyle w:val="13"/>
        <w:keepNext w:val="0"/>
        <w:keepLines w:val="0"/>
        <w:pageBreakBefore w:val="0"/>
        <w:wordWrap/>
        <w:topLinePunct w:val="0"/>
        <w:autoSpaceDE/>
        <w:autoSpaceDN/>
        <w:bidi w:val="0"/>
        <w:adjustRightInd/>
        <w:snapToGrid/>
        <w:spacing w:line="578" w:lineRule="exact"/>
        <w:ind w:left="0" w:leftChars="0" w:firstLine="648"/>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3</w:t>
      </w:r>
      <w:r>
        <w:rPr>
          <w:rFonts w:hint="eastAsia" w:ascii="Times New Roman" w:hAnsi="Times New Roman" w:eastAsia="仿宋_GB2312"/>
          <w:color w:val="auto"/>
          <w:sz w:val="32"/>
          <w:lang w:eastAsia="zh-CN"/>
        </w:rPr>
        <w:t>.管道断面</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管道仪表流量计宜采用超声波流量计、电磁流量计、水表等量水方式。当管道为非满管或为渠道出水涵管时，需采用非满管电磁流量计进行测量。</w:t>
      </w:r>
    </w:p>
    <w:p>
      <w:pPr>
        <w:pStyle w:val="13"/>
        <w:keepNext w:val="0"/>
        <w:keepLines w:val="0"/>
        <w:pageBreakBefore w:val="0"/>
        <w:wordWrap/>
        <w:topLinePunct w:val="0"/>
        <w:bidi w:val="0"/>
        <w:adjustRightInd/>
        <w:snapToGrid/>
        <w:spacing w:line="578" w:lineRule="exact"/>
        <w:ind w:left="0" w:leftChars="0" w:firstLine="644"/>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3.2.</w:t>
      </w:r>
      <w:r>
        <w:rPr>
          <w:rFonts w:hint="eastAsia" w:ascii="Times New Roman" w:hAnsi="Times New Roman" w:eastAsia="仿宋_GB2312"/>
          <w:color w:val="auto"/>
          <w:sz w:val="32"/>
          <w:lang w:val="en-US" w:eastAsia="zh-CN"/>
        </w:rPr>
        <w:t>6</w:t>
      </w:r>
      <w:r>
        <w:rPr>
          <w:rFonts w:hint="eastAsia" w:ascii="Times New Roman" w:hAnsi="Times New Roman" w:eastAsia="仿宋_GB2312"/>
          <w:color w:val="auto"/>
          <w:sz w:val="32"/>
          <w:lang w:eastAsia="zh-CN"/>
        </w:rPr>
        <w:t xml:space="preserve">   用水量测站的供电宜优先采用直流供电（太阳能+蓄电池），蓄电池应合理计算设备满负荷功率，确保在阴雨天气情况下，蓄电池容量应支持供电不少于20天。</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3.2.</w:t>
      </w:r>
      <w:r>
        <w:rPr>
          <w:rFonts w:hint="eastAsia" w:ascii="Times New Roman" w:hAnsi="Times New Roman" w:eastAsia="仿宋_GB2312"/>
          <w:color w:val="auto"/>
          <w:sz w:val="32"/>
          <w:lang w:val="en-US" w:eastAsia="zh-CN"/>
        </w:rPr>
        <w:t>7</w:t>
      </w:r>
      <w:r>
        <w:rPr>
          <w:rFonts w:hint="eastAsia" w:ascii="Times New Roman" w:hAnsi="Times New Roman" w:eastAsia="仿宋_GB2312"/>
          <w:color w:val="auto"/>
          <w:sz w:val="32"/>
          <w:lang w:eastAsia="zh-CN"/>
        </w:rPr>
        <w:t xml:space="preserve">  用水量测站点应进行防雷接地设施设计。太阳能供电的野外站，应设计防雷接地措施；交流供电的野外站应设计防雷接地以及电源接地；中心站应设计防雷接地、电源接地以及设备接地。野外站防雷接地电阻值宜小于等于10</w:t>
      </w:r>
      <w:r>
        <w:rPr>
          <w:rFonts w:hint="eastAsia" w:ascii="Times New Roman" w:hAnsi="Times New Roman" w:eastAsia="仿宋_GB2312"/>
          <w:color w:val="auto"/>
          <w:sz w:val="32"/>
        </w:rPr>
        <w:t>Ω</w:t>
      </w:r>
      <w:r>
        <w:rPr>
          <w:rFonts w:hint="eastAsia" w:ascii="Times New Roman" w:hAnsi="Times New Roman" w:eastAsia="仿宋_GB2312"/>
          <w:color w:val="auto"/>
          <w:sz w:val="32"/>
          <w:lang w:eastAsia="zh-CN"/>
        </w:rPr>
        <w:t>，中心站的接地电阻值应小于等于4</w:t>
      </w:r>
      <w:r>
        <w:rPr>
          <w:rFonts w:hint="eastAsia" w:ascii="Times New Roman" w:hAnsi="Times New Roman" w:eastAsia="仿宋_GB2312"/>
          <w:color w:val="auto"/>
          <w:sz w:val="32"/>
        </w:rPr>
        <w:t>Ω</w:t>
      </w:r>
      <w:r>
        <w:rPr>
          <w:rFonts w:hint="eastAsia" w:ascii="Times New Roman" w:hAnsi="Times New Roman" w:eastAsia="仿宋_GB2312"/>
          <w:color w:val="auto"/>
          <w:sz w:val="32"/>
          <w:lang w:eastAsia="zh-CN"/>
        </w:rPr>
        <w:t>。</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hint="eastAsia" w:ascii="Times New Roman" w:hAnsi="Times New Roman" w:eastAsia="仿宋_GB2312" w:cs="Arial"/>
          <w:color w:val="auto"/>
          <w:sz w:val="32"/>
          <w:lang w:eastAsia="zh-CN"/>
        </w:rPr>
      </w:pPr>
      <w:r>
        <w:rPr>
          <w:rFonts w:hint="eastAsia" w:ascii="Times New Roman" w:hAnsi="Times New Roman" w:eastAsia="仿宋_GB2312" w:cs="Arial"/>
          <w:color w:val="auto"/>
          <w:sz w:val="32"/>
          <w:lang w:eastAsia="zh-CN"/>
        </w:rPr>
        <w:t>3.2.8  采用流速、水位等间接量测法进行量水的站点，须在建设期对量测断面进行水文要素关系率定。</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hint="eastAsia" w:ascii="Times New Roman" w:hAnsi="Times New Roman" w:eastAsia="仿宋_GB2312" w:cs="Arial"/>
          <w:color w:val="auto"/>
          <w:sz w:val="32"/>
          <w:lang w:eastAsia="zh-CN"/>
        </w:rPr>
      </w:pPr>
      <w:r>
        <w:rPr>
          <w:rFonts w:hint="eastAsia" w:ascii="Times New Roman" w:hAnsi="Times New Roman" w:eastAsia="仿宋_GB2312" w:cs="Arial"/>
          <w:color w:val="auto"/>
          <w:sz w:val="32"/>
          <w:lang w:eastAsia="zh-CN"/>
        </w:rPr>
        <w:t>1</w:t>
      </w:r>
      <w:r>
        <w:rPr>
          <w:rFonts w:hint="eastAsia" w:ascii="Times New Roman" w:hAnsi="Times New Roman" w:eastAsia="仿宋_GB2312" w:cs="Arial"/>
          <w:color w:val="auto"/>
          <w:sz w:val="32"/>
          <w:lang w:val="en-US" w:eastAsia="zh-CN"/>
        </w:rPr>
        <w:t>.</w:t>
      </w:r>
      <w:r>
        <w:rPr>
          <w:rFonts w:hint="eastAsia" w:ascii="Times New Roman" w:hAnsi="Times New Roman" w:eastAsia="仿宋_GB2312" w:cs="Arial"/>
          <w:color w:val="auto"/>
          <w:sz w:val="32"/>
          <w:lang w:eastAsia="zh-CN"/>
        </w:rPr>
        <w:t>率定工作应遵循GB</w:t>
      </w:r>
      <w:r>
        <w:rPr>
          <w:rFonts w:hint="eastAsia" w:ascii="Times New Roman" w:hAnsi="Times New Roman" w:eastAsia="仿宋_GB2312" w:cs="Arial"/>
          <w:color w:val="auto"/>
          <w:sz w:val="32"/>
          <w:lang w:val="en-US" w:eastAsia="zh-CN"/>
        </w:rPr>
        <w:t xml:space="preserve"> </w:t>
      </w:r>
      <w:r>
        <w:rPr>
          <w:rFonts w:hint="eastAsia" w:ascii="Times New Roman" w:hAnsi="Times New Roman" w:eastAsia="仿宋_GB2312" w:cs="Arial"/>
          <w:color w:val="auto"/>
          <w:sz w:val="32"/>
          <w:lang w:eastAsia="zh-CN"/>
        </w:rPr>
        <w:t>50179、</w:t>
      </w:r>
      <w:r>
        <w:rPr>
          <w:rFonts w:hint="eastAsia" w:ascii="Times New Roman" w:hAnsi="Times New Roman" w:eastAsia="仿宋_GB2312"/>
          <w:bCs/>
          <w:color w:val="auto"/>
          <w:spacing w:val="0"/>
          <w:sz w:val="32"/>
          <w:szCs w:val="32"/>
          <w:lang w:eastAsia="zh-CN"/>
        </w:rPr>
        <w:t>GB/T</w:t>
      </w:r>
      <w:r>
        <w:rPr>
          <w:rFonts w:hint="eastAsia" w:ascii="Times New Roman" w:hAnsi="Times New Roman" w:eastAsia="仿宋_GB2312"/>
          <w:bCs/>
          <w:color w:val="auto"/>
          <w:spacing w:val="0"/>
          <w:sz w:val="32"/>
          <w:szCs w:val="32"/>
          <w:lang w:val="en-US" w:eastAsia="zh-CN"/>
        </w:rPr>
        <w:t xml:space="preserve"> </w:t>
      </w:r>
      <w:r>
        <w:rPr>
          <w:rFonts w:hint="eastAsia" w:ascii="Times New Roman" w:hAnsi="Times New Roman" w:eastAsia="仿宋_GB2312" w:cs="Arial"/>
          <w:color w:val="auto"/>
          <w:sz w:val="32"/>
          <w:lang w:eastAsia="zh-CN"/>
        </w:rPr>
        <w:t>21303、SL</w:t>
      </w:r>
      <w:r>
        <w:rPr>
          <w:rFonts w:hint="eastAsia" w:ascii="Times New Roman" w:hAnsi="Times New Roman" w:eastAsia="仿宋_GB2312" w:cs="Arial"/>
          <w:color w:val="auto"/>
          <w:sz w:val="32"/>
          <w:lang w:val="en-US" w:eastAsia="zh-CN"/>
        </w:rPr>
        <w:t xml:space="preserve"> </w:t>
      </w:r>
      <w:r>
        <w:rPr>
          <w:rFonts w:hint="eastAsia" w:ascii="Times New Roman" w:hAnsi="Times New Roman" w:eastAsia="仿宋_GB2312" w:cs="Arial"/>
          <w:color w:val="auto"/>
          <w:sz w:val="32"/>
          <w:lang w:eastAsia="zh-CN"/>
        </w:rPr>
        <w:t>537 等规范要求开展。量水断面的测量应符合GB</w:t>
      </w:r>
      <w:r>
        <w:rPr>
          <w:rFonts w:hint="eastAsia" w:ascii="Times New Roman" w:hAnsi="Times New Roman" w:eastAsia="仿宋_GB2312" w:cs="Arial"/>
          <w:color w:val="auto"/>
          <w:sz w:val="32"/>
          <w:lang w:val="en-US" w:eastAsia="zh-CN"/>
        </w:rPr>
        <w:t xml:space="preserve"> </w:t>
      </w:r>
      <w:r>
        <w:rPr>
          <w:rFonts w:hint="eastAsia" w:ascii="Times New Roman" w:hAnsi="Times New Roman" w:eastAsia="仿宋_GB2312" w:cs="Arial"/>
          <w:color w:val="auto"/>
          <w:sz w:val="32"/>
          <w:lang w:eastAsia="zh-CN"/>
        </w:rPr>
        <w:t>50179“大断面测量”规定，新建渠道或无冲刷、淤积、变形的旧渠道，可采用渠道原设计资料；流速率定应优先采用流速仪法，测速垂线数和各垂线测点布设等，应满足规范要求。</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hint="eastAsia" w:ascii="Times New Roman" w:hAnsi="Times New Roman" w:eastAsia="仿宋_GB2312" w:cs="Arial"/>
          <w:color w:val="auto"/>
          <w:sz w:val="32"/>
          <w:lang w:eastAsia="zh-CN"/>
        </w:rPr>
      </w:pPr>
      <w:r>
        <w:rPr>
          <w:rFonts w:hint="eastAsia" w:ascii="Times New Roman" w:hAnsi="Times New Roman" w:eastAsia="仿宋_GB2312" w:cs="Arial"/>
          <w:color w:val="auto"/>
          <w:sz w:val="32"/>
          <w:lang w:eastAsia="zh-CN"/>
        </w:rPr>
        <w:t>2</w:t>
      </w:r>
      <w:r>
        <w:rPr>
          <w:rFonts w:hint="eastAsia" w:ascii="Times New Roman" w:hAnsi="Times New Roman" w:eastAsia="仿宋_GB2312" w:cs="Arial"/>
          <w:color w:val="auto"/>
          <w:sz w:val="32"/>
          <w:lang w:val="en-US" w:eastAsia="zh-CN"/>
        </w:rPr>
        <w:t>.</w:t>
      </w:r>
      <w:r>
        <w:rPr>
          <w:rFonts w:hint="eastAsia" w:ascii="Times New Roman" w:hAnsi="Times New Roman" w:eastAsia="仿宋_GB2312" w:cs="Arial"/>
          <w:color w:val="auto"/>
          <w:sz w:val="32"/>
          <w:lang w:eastAsia="zh-CN"/>
        </w:rPr>
        <w:t>水文要素（水面或流层流速~断面平均流速、水位~流量等）关系率定成果，其相应的水位变幅应能测控到渠道可能发生的最高、最低水位；率定测次应不少于30次; 率定测量应避免在水流扰动较大的渠段进行。</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hint="eastAsia" w:ascii="Times New Roman" w:hAnsi="Times New Roman" w:eastAsia="仿宋_GB2312" w:cs="Arial"/>
          <w:color w:val="auto"/>
          <w:sz w:val="32"/>
          <w:lang w:eastAsia="zh-CN"/>
        </w:rPr>
      </w:pPr>
      <w:r>
        <w:rPr>
          <w:rFonts w:hint="eastAsia" w:ascii="Times New Roman" w:hAnsi="Times New Roman" w:eastAsia="仿宋_GB2312" w:cs="Arial"/>
          <w:color w:val="auto"/>
          <w:sz w:val="32"/>
          <w:lang w:eastAsia="zh-CN"/>
        </w:rPr>
        <w:t>3</w:t>
      </w:r>
      <w:r>
        <w:rPr>
          <w:rFonts w:hint="eastAsia" w:ascii="Times New Roman" w:hAnsi="Times New Roman" w:eastAsia="仿宋_GB2312" w:cs="Arial"/>
          <w:color w:val="auto"/>
          <w:sz w:val="32"/>
          <w:lang w:val="en-US" w:eastAsia="zh-CN"/>
        </w:rPr>
        <w:t>.</w:t>
      </w:r>
      <w:r>
        <w:rPr>
          <w:rFonts w:hint="eastAsia" w:ascii="Times New Roman" w:hAnsi="Times New Roman" w:eastAsia="仿宋_GB2312" w:cs="Arial"/>
          <w:color w:val="auto"/>
          <w:sz w:val="32"/>
          <w:lang w:eastAsia="zh-CN"/>
        </w:rPr>
        <w:t>经率定后提交的水文要素关系成果, 宜达到</w:t>
      </w:r>
      <w:r>
        <w:rPr>
          <w:rFonts w:hint="eastAsia" w:ascii="Times New Roman" w:hAnsi="Times New Roman" w:eastAsia="仿宋_GB2312"/>
          <w:bCs/>
          <w:color w:val="auto"/>
          <w:spacing w:val="0"/>
          <w:sz w:val="32"/>
          <w:szCs w:val="32"/>
          <w:lang w:eastAsia="zh-CN"/>
        </w:rPr>
        <w:t>GB/T</w:t>
      </w:r>
      <w:r>
        <w:rPr>
          <w:rFonts w:hint="eastAsia" w:ascii="Times New Roman" w:hAnsi="Times New Roman" w:eastAsia="仿宋_GB2312"/>
          <w:bCs/>
          <w:color w:val="auto"/>
          <w:spacing w:val="0"/>
          <w:sz w:val="32"/>
          <w:szCs w:val="32"/>
          <w:lang w:val="en-US" w:eastAsia="zh-CN"/>
        </w:rPr>
        <w:t xml:space="preserve"> </w:t>
      </w:r>
      <w:r>
        <w:rPr>
          <w:rFonts w:hint="eastAsia" w:ascii="Times New Roman" w:hAnsi="Times New Roman" w:eastAsia="仿宋_GB2312" w:cs="Arial"/>
          <w:color w:val="auto"/>
          <w:sz w:val="32"/>
          <w:lang w:eastAsia="zh-CN"/>
        </w:rPr>
        <w:t xml:space="preserve">21303规定的精度要求。 </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09" w:name="_Toc1115303917"/>
      <w:bookmarkStart w:id="110" w:name="_Toc1805190447"/>
      <w:bookmarkStart w:id="111" w:name="_Toc423230349"/>
      <w:bookmarkStart w:id="112" w:name="_Toc204960810"/>
      <w:bookmarkStart w:id="113" w:name="_Toc171253021"/>
      <w:bookmarkStart w:id="114" w:name="_Toc4922532"/>
      <w:bookmarkStart w:id="115" w:name="_Toc1860296928"/>
      <w:bookmarkStart w:id="116" w:name="_Toc721877824"/>
      <w:r>
        <w:rPr>
          <w:rFonts w:hint="eastAsia" w:ascii="楷体_GB2312" w:hAnsi="楷体_GB2312" w:eastAsia="楷体_GB2312" w:cs="楷体_GB2312"/>
          <w:b/>
          <w:bCs w:val="0"/>
          <w:snapToGrid/>
          <w:color w:val="auto"/>
          <w:kern w:val="2"/>
          <w:sz w:val="32"/>
          <w:lang w:eastAsia="zh-CN"/>
        </w:rPr>
        <w:t>3.3  工情监测系统</w:t>
      </w:r>
      <w:bookmarkEnd w:id="109"/>
      <w:bookmarkEnd w:id="110"/>
      <w:bookmarkEnd w:id="111"/>
      <w:bookmarkEnd w:id="112"/>
      <w:bookmarkEnd w:id="113"/>
      <w:bookmarkEnd w:id="114"/>
      <w:bookmarkEnd w:id="115"/>
      <w:bookmarkEnd w:id="116"/>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3.3.1  宜监测渠道（重点监测高边坡、高填方段）、水闸、渡槽等渠系建筑物的工程安全信息。监测点位、布置、频次等应符合</w:t>
      </w:r>
      <w:r>
        <w:rPr>
          <w:rFonts w:hint="eastAsia" w:ascii="Times New Roman" w:hAnsi="Times New Roman" w:eastAsia="仿宋_GB2312"/>
          <w:bCs/>
          <w:color w:val="auto"/>
          <w:spacing w:val="0"/>
          <w:sz w:val="32"/>
          <w:szCs w:val="32"/>
          <w:lang w:eastAsia="zh-CN"/>
        </w:rPr>
        <w:t>SL 725</w:t>
      </w:r>
      <w:r>
        <w:rPr>
          <w:rFonts w:hint="eastAsia" w:ascii="Times New Roman" w:hAnsi="Times New Roman" w:eastAsia="仿宋_GB2312"/>
          <w:color w:val="auto"/>
          <w:sz w:val="32"/>
          <w:lang w:eastAsia="zh-CN"/>
        </w:rPr>
        <w:t>、SL 768等的规定。</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3.3.2  宜监测闸（阀）门开度、荷载、过闸流量、启闭时间，泵站运行工况，泵站流量、实时负荷、启停时间等工程运行信息。</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3.3.3  宜覆盖水源工程，取（引）水工程、泵站工程、输配水渠（管）道、排（退）水沟（渠）及其建筑物、机电设备、金属结构设备、管理设施等。</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3.3.4  宜采用仪器设备监测、视频监视、无人机巡航、人工巡查等方式采集工情信息。确有需要且具备条件的单位，宜构建基于星载平台（北斗、卫星InSAR等）、航空平台（无人机摄影测量等）、地面平台（高精度三维激光扫描仪等）的天空地一体化多源立体化监测系统，实现灌区全域的全方位监测和安全隐患识别。</w:t>
      </w:r>
      <w:r>
        <w:rPr>
          <w:rFonts w:hint="eastAsia" w:ascii="Times New Roman" w:hAnsi="Times New Roman" w:eastAsia="仿宋_GB2312"/>
          <w:color w:val="auto"/>
          <w:sz w:val="32"/>
          <w:lang w:eastAsia="zh-CN"/>
        </w:rPr>
        <w:tab/>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17" w:name="bookmark23"/>
      <w:bookmarkEnd w:id="117"/>
      <w:bookmarkStart w:id="118" w:name="bookmark22"/>
      <w:bookmarkEnd w:id="118"/>
      <w:bookmarkStart w:id="119" w:name="_Toc578161075"/>
      <w:bookmarkStart w:id="120" w:name="_Toc1486987963"/>
      <w:bookmarkStart w:id="121" w:name="_Toc864274549"/>
      <w:bookmarkStart w:id="122" w:name="_Toc657744082"/>
      <w:bookmarkStart w:id="123" w:name="_Toc264792819"/>
      <w:bookmarkStart w:id="124" w:name="_Toc142409832"/>
      <w:bookmarkStart w:id="125" w:name="_Toc130395349"/>
      <w:bookmarkStart w:id="126" w:name="_Toc1313964657"/>
      <w:r>
        <w:rPr>
          <w:rFonts w:hint="eastAsia" w:ascii="楷体_GB2312" w:hAnsi="楷体_GB2312" w:eastAsia="楷体_GB2312" w:cs="楷体_GB2312"/>
          <w:b/>
          <w:bCs w:val="0"/>
          <w:snapToGrid/>
          <w:color w:val="auto"/>
          <w:kern w:val="2"/>
          <w:sz w:val="32"/>
          <w:lang w:eastAsia="zh-CN"/>
        </w:rPr>
        <w:t>3.4  雨情监测系统</w:t>
      </w:r>
      <w:bookmarkEnd w:id="119"/>
      <w:bookmarkEnd w:id="120"/>
      <w:bookmarkEnd w:id="121"/>
      <w:bookmarkEnd w:id="122"/>
      <w:bookmarkEnd w:id="123"/>
      <w:bookmarkEnd w:id="124"/>
      <w:bookmarkEnd w:id="125"/>
      <w:bookmarkEnd w:id="126"/>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3.4.1  根据管理需要优先共享地方水行政主管部门、各级气象观测部门相关雨量站监测数据。可根据灌区实际需求布设雨量站。</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 xml:space="preserve">3.4.2  雨量自动监测宜采用分辨力小于等于0.5mm的翻斗式雨量计，同时应符合GB/T </w:t>
      </w:r>
      <w:r>
        <w:rPr>
          <w:rFonts w:hint="eastAsia" w:ascii="Times New Roman" w:hAnsi="Times New Roman" w:eastAsia="仿宋_GB2312"/>
          <w:color w:val="auto"/>
          <w:sz w:val="32"/>
          <w:lang w:val="en-US" w:eastAsia="zh-CN"/>
        </w:rPr>
        <w:t>21978.2</w:t>
      </w:r>
      <w:r>
        <w:rPr>
          <w:rFonts w:hint="eastAsia" w:ascii="Times New Roman" w:hAnsi="Times New Roman" w:eastAsia="仿宋_GB2312"/>
          <w:color w:val="auto"/>
          <w:sz w:val="32"/>
          <w:lang w:eastAsia="zh-CN"/>
        </w:rPr>
        <w:t>、SL 21要求。</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hint="eastAsia" w:ascii="Times New Roman" w:hAnsi="Times New Roman" w:eastAsia="仿宋_GB2312" w:cs="Arial"/>
          <w:color w:val="auto"/>
          <w:sz w:val="32"/>
          <w:lang w:eastAsia="zh-CN"/>
        </w:rPr>
      </w:pPr>
      <w:r>
        <w:rPr>
          <w:rFonts w:hint="eastAsia" w:ascii="Times New Roman" w:hAnsi="Times New Roman" w:eastAsia="仿宋_GB2312" w:cs="Arial"/>
          <w:color w:val="auto"/>
          <w:sz w:val="32"/>
          <w:lang w:eastAsia="zh-CN"/>
        </w:rPr>
        <w:t>3.4.3  雨量站建设后应按规范要求完成滴定校验。</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27" w:name="_Toc327251724"/>
      <w:bookmarkStart w:id="128" w:name="_Toc2108553287"/>
      <w:bookmarkStart w:id="129" w:name="_Toc1595570603"/>
      <w:bookmarkStart w:id="130" w:name="_Toc606504207"/>
      <w:bookmarkStart w:id="131" w:name="_Toc1222333007"/>
      <w:bookmarkStart w:id="132" w:name="_Toc145361918"/>
      <w:bookmarkStart w:id="133" w:name="_Toc365982717"/>
      <w:bookmarkStart w:id="134" w:name="_Toc2130650655"/>
      <w:r>
        <w:rPr>
          <w:rFonts w:hint="eastAsia" w:ascii="楷体_GB2312" w:hAnsi="楷体_GB2312" w:eastAsia="楷体_GB2312" w:cs="楷体_GB2312"/>
          <w:b/>
          <w:bCs w:val="0"/>
          <w:snapToGrid/>
          <w:color w:val="auto"/>
          <w:kern w:val="2"/>
          <w:sz w:val="32"/>
          <w:lang w:eastAsia="zh-CN"/>
        </w:rPr>
        <w:t>3.5  墒情监测系统</w:t>
      </w:r>
      <w:bookmarkEnd w:id="127"/>
      <w:bookmarkEnd w:id="128"/>
      <w:bookmarkEnd w:id="129"/>
      <w:bookmarkEnd w:id="130"/>
      <w:bookmarkEnd w:id="131"/>
      <w:bookmarkEnd w:id="132"/>
      <w:bookmarkEnd w:id="133"/>
      <w:bookmarkEnd w:id="134"/>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3.5.1  墒情信息可以通过设置固定墒情信息感知设备获取，也可采用共享数据的方式取得第三方数据。</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3.5.2  墒情监测站配置应按SL 364规定执行。</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35" w:name="_Toc1156595563"/>
      <w:bookmarkStart w:id="136" w:name="_Toc405940854"/>
      <w:bookmarkStart w:id="137" w:name="_Toc396945051"/>
      <w:bookmarkStart w:id="138" w:name="_Toc1975931401"/>
      <w:bookmarkStart w:id="139" w:name="_Toc1727115030"/>
      <w:bookmarkStart w:id="140" w:name="_Toc1223582837"/>
      <w:bookmarkStart w:id="141" w:name="_Toc2145270068"/>
      <w:bookmarkStart w:id="142" w:name="_Toc1384243119"/>
      <w:r>
        <w:rPr>
          <w:rFonts w:hint="eastAsia" w:ascii="楷体_GB2312" w:hAnsi="楷体_GB2312" w:eastAsia="楷体_GB2312" w:cs="楷体_GB2312"/>
          <w:b/>
          <w:bCs w:val="0"/>
          <w:snapToGrid/>
          <w:color w:val="auto"/>
          <w:kern w:val="2"/>
          <w:sz w:val="32"/>
          <w:lang w:eastAsia="zh-CN"/>
        </w:rPr>
        <w:t>3.6  水事影像系统</w:t>
      </w:r>
      <w:bookmarkEnd w:id="135"/>
      <w:bookmarkEnd w:id="136"/>
      <w:bookmarkEnd w:id="137"/>
      <w:bookmarkEnd w:id="138"/>
      <w:bookmarkEnd w:id="139"/>
      <w:bookmarkEnd w:id="140"/>
      <w:bookmarkEnd w:id="141"/>
      <w:bookmarkEnd w:id="142"/>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3.6.1  可根据实际需求在主要道路进出口、重要建筑物（如渡槽、倒虹吸、隧洞、溢洪堰、跌水、陡坡、箱涵、桥梁以及自动控制的闸、泵、阀等）、人口密集区、险情易发地，以及其他管理需要的区域等，选择布设视频监控，构建多功能智能识别水事影像系统。</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3.6.2 灌区视频监控应优先选择在市电供电、有线网络覆盖的地点进行建设，原则上不建议大量建设太阳能供电</w:t>
      </w:r>
      <w:r>
        <w:rPr>
          <w:rFonts w:hint="eastAsia" w:ascii="Times New Roman" w:hAnsi="Times New Roman" w:eastAsia="仿宋_GB2312"/>
          <w:color w:val="auto"/>
          <w:sz w:val="32"/>
          <w:lang w:val="en-US" w:eastAsia="zh-CN"/>
        </w:rPr>
        <w:t>+</w:t>
      </w:r>
      <w:r>
        <w:rPr>
          <w:rFonts w:hint="eastAsia" w:ascii="Times New Roman" w:hAnsi="Times New Roman" w:eastAsia="仿宋_GB2312"/>
          <w:color w:val="auto"/>
          <w:sz w:val="32"/>
          <w:lang w:eastAsia="zh-CN"/>
        </w:rPr>
        <w:t>4G通信的视频监控站。</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3.6.3 确有必要建设太阳能供电+4G通信视频监控站时，应在保证后期运维费用的情况下，采用拍照为主、实时视频巡查为辅的运行机制；有条件的，可采用15日现地存储的实时监控运行模式，并通过采购运营商“流量包”套餐方式进行定期打包传送，以降低日常流量使用费用。应能根据报警系统及预置程序进行录像，或通过手动实现即时录像，能对图像进行完整保存和再现，储存时间不少于15天。视频宜具备深度应用条件，能够自主分析、识别、报警、联动等。</w:t>
      </w:r>
    </w:p>
    <w:p>
      <w:pPr>
        <w:keepNext w:val="0"/>
        <w:keepLines w:val="0"/>
        <w:pageBreakBefore w:val="0"/>
        <w:numPr>
          <w:ilvl w:val="255"/>
          <w:numId w:val="0"/>
        </w:numPr>
        <w:tabs>
          <w:tab w:val="left" w:pos="576"/>
          <w:tab w:val="left" w:pos="2702"/>
        </w:tabs>
        <w:suppressAutoHyphens/>
        <w:kinsoku/>
        <w:wordWrap/>
        <w:overflowPunct w:val="0"/>
        <w:topLinePunct w:val="0"/>
        <w:bidi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3.6.4 灌区视频数据传输宜根据情况选择网线、光纤、4G/5G或无线网桥等方式。网线传输距离不应超过100m。当使用无线网桥传输视频数据，网桥发射和接收端之间应无障碍遮挡。</w:t>
      </w:r>
    </w:p>
    <w:p>
      <w:pPr>
        <w:rPr>
          <w:color w:val="auto"/>
          <w:lang w:eastAsia="zh-CN"/>
        </w:rPr>
      </w:pPr>
    </w:p>
    <w:p>
      <w:pPr>
        <w:rPr>
          <w:color w:val="auto"/>
          <w:lang w:eastAsia="zh-CN"/>
        </w:rPr>
      </w:pPr>
      <w:r>
        <w:rPr>
          <w:color w:val="auto"/>
          <w:lang w:eastAsia="zh-CN"/>
        </w:rPr>
        <w:br w:type="page"/>
      </w:r>
    </w:p>
    <w:p>
      <w:pPr>
        <w:rPr>
          <w:color w:val="auto"/>
          <w:lang w:eastAsia="zh-CN"/>
        </w:rPr>
      </w:pPr>
    </w:p>
    <w:p>
      <w:pPr>
        <w:pStyle w:val="2"/>
        <w:keepNext w:val="0"/>
        <w:keepLines w:val="0"/>
        <w:widowControl w:val="0"/>
        <w:kinsoku/>
        <w:overflowPunct w:val="0"/>
        <w:autoSpaceDE/>
        <w:autoSpaceDN/>
        <w:adjustRightInd/>
        <w:snapToGrid/>
        <w:spacing w:line="578" w:lineRule="exact"/>
        <w:ind w:firstLine="0"/>
        <w:textAlignment w:val="auto"/>
        <w:rPr>
          <w:rFonts w:ascii="Times New Roman" w:hAnsi="Times New Roman" w:eastAsia="黑体" w:cs="Times New Roman"/>
          <w:snapToGrid/>
          <w:color w:val="auto"/>
          <w:lang w:eastAsia="zh-CN"/>
        </w:rPr>
      </w:pPr>
      <w:bookmarkStart w:id="143" w:name="bookmark26"/>
      <w:bookmarkEnd w:id="143"/>
      <w:bookmarkStart w:id="144" w:name="bookmark27"/>
      <w:bookmarkEnd w:id="144"/>
      <w:bookmarkStart w:id="145" w:name="bookmark29"/>
      <w:bookmarkEnd w:id="145"/>
      <w:bookmarkStart w:id="146" w:name="_Toc1901352457"/>
      <w:bookmarkStart w:id="147" w:name="_Toc647691632"/>
      <w:bookmarkStart w:id="148" w:name="_Toc1106628110"/>
      <w:bookmarkStart w:id="149" w:name="_Toc1416518407"/>
      <w:bookmarkStart w:id="150" w:name="_Toc673830000"/>
      <w:bookmarkStart w:id="151" w:name="_Toc589454503"/>
      <w:bookmarkStart w:id="152" w:name="_Toc1404846329"/>
      <w:bookmarkStart w:id="153" w:name="_Toc632571099"/>
      <w:r>
        <w:rPr>
          <w:rFonts w:hint="eastAsia" w:ascii="Times New Roman" w:hAnsi="Times New Roman" w:eastAsia="黑体" w:cs="Times New Roman"/>
          <w:snapToGrid/>
          <w:color w:val="auto"/>
          <w:lang w:eastAsia="zh-CN"/>
        </w:rPr>
        <w:t>自动控制体系</w:t>
      </w:r>
      <w:bookmarkEnd w:id="146"/>
      <w:bookmarkEnd w:id="147"/>
      <w:bookmarkEnd w:id="148"/>
      <w:bookmarkEnd w:id="149"/>
      <w:bookmarkEnd w:id="150"/>
      <w:bookmarkEnd w:id="151"/>
      <w:bookmarkEnd w:id="152"/>
      <w:bookmarkEnd w:id="153"/>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54" w:name="bookmark28"/>
      <w:bookmarkEnd w:id="154"/>
      <w:bookmarkStart w:id="155" w:name="_Toc1256942271"/>
      <w:bookmarkStart w:id="156" w:name="_Toc135899889"/>
      <w:bookmarkStart w:id="157" w:name="_Toc1073665438"/>
      <w:bookmarkStart w:id="158" w:name="_Toc1891242325"/>
      <w:bookmarkStart w:id="159" w:name="_Toc260568387"/>
      <w:bookmarkStart w:id="160" w:name="_Toc934852593"/>
      <w:bookmarkStart w:id="161" w:name="_Toc1103604338"/>
      <w:bookmarkStart w:id="162" w:name="_Toc776817694"/>
      <w:r>
        <w:rPr>
          <w:rFonts w:hint="eastAsia" w:ascii="楷体_GB2312" w:hAnsi="楷体_GB2312" w:eastAsia="楷体_GB2312" w:cs="楷体_GB2312"/>
          <w:b/>
          <w:bCs w:val="0"/>
          <w:snapToGrid/>
          <w:color w:val="auto"/>
          <w:kern w:val="2"/>
          <w:sz w:val="32"/>
          <w:lang w:eastAsia="zh-CN"/>
        </w:rPr>
        <w:t>4.1  一般要求</w:t>
      </w:r>
      <w:bookmarkEnd w:id="155"/>
      <w:bookmarkEnd w:id="156"/>
      <w:bookmarkEnd w:id="157"/>
      <w:bookmarkEnd w:id="158"/>
      <w:bookmarkEnd w:id="159"/>
      <w:bookmarkEnd w:id="160"/>
      <w:bookmarkEnd w:id="161"/>
      <w:bookmarkEnd w:id="162"/>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4.1.1  自动控制体系包括闸门控制系统和泵站自动控制等，包括取（引）水、输配水、排（退）水自动控制系统等。应实现渠道水情、工情及重要水利设施周边安全、设备运行状况的实时、远程、自动监控。</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4.1.2  自动控制系统应配置RTU或PLC，原则上采用专线传输方式连接，并具备数据自动上报、故障报警等功能。</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63" w:name="bookmark31"/>
      <w:bookmarkEnd w:id="163"/>
      <w:bookmarkStart w:id="164" w:name="bookmark30"/>
      <w:bookmarkEnd w:id="164"/>
      <w:bookmarkStart w:id="165" w:name="_Toc1797618130"/>
      <w:bookmarkStart w:id="166" w:name="_Toc2008613511"/>
      <w:bookmarkStart w:id="167" w:name="_Toc2080883930"/>
      <w:bookmarkStart w:id="168" w:name="_Toc664427101"/>
      <w:bookmarkStart w:id="169" w:name="_Toc788935003"/>
      <w:bookmarkStart w:id="170" w:name="_Toc1417496502"/>
      <w:bookmarkStart w:id="171" w:name="_Toc1343548897"/>
      <w:bookmarkStart w:id="172" w:name="_Toc2123627140"/>
      <w:r>
        <w:rPr>
          <w:rFonts w:hint="eastAsia" w:ascii="楷体_GB2312" w:hAnsi="楷体_GB2312" w:eastAsia="楷体_GB2312" w:cs="楷体_GB2312"/>
          <w:b/>
          <w:bCs w:val="0"/>
          <w:snapToGrid/>
          <w:color w:val="auto"/>
          <w:kern w:val="2"/>
          <w:sz w:val="32"/>
          <w:lang w:eastAsia="zh-CN"/>
        </w:rPr>
        <w:t>4.2  闸门控制系统</w:t>
      </w:r>
      <w:bookmarkEnd w:id="165"/>
      <w:bookmarkEnd w:id="166"/>
      <w:bookmarkEnd w:id="167"/>
      <w:bookmarkEnd w:id="168"/>
      <w:bookmarkEnd w:id="169"/>
      <w:bookmarkEnd w:id="170"/>
      <w:bookmarkEnd w:id="171"/>
      <w:bookmarkEnd w:id="172"/>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4.2.1  闸门控制系统宜包括闸门开度荷重、闸前/后水位、闸门上/下限位、</w:t>
      </w:r>
      <w:r>
        <w:rPr>
          <w:rFonts w:hint="eastAsia" w:ascii="Times New Roman" w:hAnsi="Times New Roman" w:eastAsia="仿宋_GB2312"/>
          <w:color w:val="auto"/>
          <w:sz w:val="32"/>
          <w:lang w:val="en-US" w:eastAsia="zh-CN"/>
        </w:rPr>
        <w:t>防卡闸、</w:t>
      </w:r>
      <w:r>
        <w:rPr>
          <w:rFonts w:hint="eastAsia" w:ascii="Times New Roman" w:hAnsi="Times New Roman" w:eastAsia="仿宋_GB2312"/>
          <w:color w:val="auto"/>
          <w:sz w:val="32"/>
          <w:lang w:eastAsia="zh-CN"/>
        </w:rPr>
        <w:t>动力电压/电流、视频等监测设备，以及安全网关、有线光纤或无线专网、VPN设备。</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4.2.2  闸门控制系统选址应充分考虑以下基础建设条件：</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1.闸板牢固、螺杆顺直。</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2.闸门建筑物无破损，已配套启闭机操作房的闸门可优先建设。</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3.选址有动力电或市电的闸门可优先建设。</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4.渠道节制闸、分水闸在5T以下闸门受力前提下，可采用太阳能闸门控制系统进行改造。</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4.2.3 灌区应根据本身条件，对改造和新建渠道的闸门采用一体化智能闸门。具备条件的灌区，可按照无人值守的要求，配置全渠道智能联调联控，开发全渠道控制模型算法，自动地生成调度指令，实时调控运行范围内各级闸门。</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4.2.4 闸门控制系统网络通信，可根据客观条件和实际需求，选用自建通信网或运营商提供的专用通信网通信。</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73" w:name="bookmark34"/>
      <w:bookmarkEnd w:id="173"/>
      <w:bookmarkStart w:id="174" w:name="bookmark35"/>
      <w:bookmarkEnd w:id="174"/>
      <w:bookmarkStart w:id="175" w:name="bookmark32"/>
      <w:bookmarkEnd w:id="175"/>
      <w:bookmarkStart w:id="176" w:name="bookmark33"/>
      <w:bookmarkEnd w:id="176"/>
      <w:bookmarkStart w:id="177" w:name="_Toc1178651847"/>
      <w:bookmarkStart w:id="178" w:name="_Toc574045954"/>
      <w:bookmarkStart w:id="179" w:name="_Toc422208824"/>
      <w:bookmarkStart w:id="180" w:name="_Toc18588778"/>
      <w:bookmarkStart w:id="181" w:name="_Toc1040291741"/>
      <w:bookmarkStart w:id="182" w:name="_Toc150423940"/>
      <w:bookmarkStart w:id="183" w:name="_Toc21847632"/>
      <w:bookmarkStart w:id="184" w:name="_Toc1082137386"/>
      <w:r>
        <w:rPr>
          <w:rFonts w:hint="eastAsia" w:ascii="楷体_GB2312" w:hAnsi="楷体_GB2312" w:eastAsia="楷体_GB2312" w:cs="楷体_GB2312"/>
          <w:b/>
          <w:bCs w:val="0"/>
          <w:snapToGrid/>
          <w:color w:val="auto"/>
          <w:kern w:val="2"/>
          <w:sz w:val="32"/>
          <w:lang w:eastAsia="zh-CN"/>
        </w:rPr>
        <w:t>4.3  泵站控制系统</w:t>
      </w:r>
      <w:bookmarkEnd w:id="177"/>
      <w:bookmarkEnd w:id="178"/>
      <w:bookmarkEnd w:id="179"/>
      <w:bookmarkEnd w:id="180"/>
      <w:bookmarkEnd w:id="181"/>
      <w:bookmarkEnd w:id="182"/>
      <w:bookmarkEnd w:id="183"/>
      <w:bookmarkEnd w:id="184"/>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4.3.1  泵站控制系统宜包括压力、流量及泵前水位等监测设备，以及安全网关、有线光纤或无线专网、VPN等设备。</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4.3.2  泵站控制系统应符合下列要求：</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1.河道、渠道的引水、提水、补水泵站，宜采用</w:t>
      </w:r>
      <w:r>
        <w:rPr>
          <w:rFonts w:ascii="Times New Roman" w:hAnsi="Times New Roman" w:eastAsia="仿宋_GB2312"/>
          <w:color w:val="auto"/>
          <w:sz w:val="32"/>
          <w:lang w:eastAsia="zh-CN"/>
        </w:rPr>
        <w:t>PLC</w:t>
      </w:r>
      <w:r>
        <w:rPr>
          <w:rFonts w:hint="eastAsia" w:ascii="Times New Roman" w:hAnsi="Times New Roman" w:eastAsia="仿宋_GB2312"/>
          <w:color w:val="auto"/>
          <w:sz w:val="32"/>
          <w:lang w:eastAsia="zh-CN"/>
        </w:rPr>
        <w:t>或</w:t>
      </w:r>
      <w:r>
        <w:rPr>
          <w:rFonts w:ascii="Times New Roman" w:hAnsi="Times New Roman" w:eastAsia="仿宋_GB2312"/>
          <w:color w:val="auto"/>
          <w:sz w:val="32"/>
          <w:lang w:eastAsia="zh-CN"/>
        </w:rPr>
        <w:t>LCU</w:t>
      </w:r>
      <w:r>
        <w:rPr>
          <w:rFonts w:hint="eastAsia" w:ascii="Times New Roman" w:hAnsi="Times New Roman" w:eastAsia="仿宋_GB2312"/>
          <w:color w:val="auto"/>
          <w:sz w:val="32"/>
          <w:lang w:eastAsia="zh-CN"/>
        </w:rPr>
        <w:t>设备进行远程控制和流量数据采集。</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.只需进行泵站流量数据采集时，宜采用泵站功率和开机时间来进行电量的换算计算流量。</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4.3.3  泵站控制系统网络通信，可根据需要应采用自建通信网或运营商提供的公共通信网通信。</w:t>
      </w:r>
    </w:p>
    <w:p>
      <w:pPr>
        <w:numPr>
          <w:ilvl w:val="255"/>
          <w:numId w:val="0"/>
        </w:numPr>
        <w:tabs>
          <w:tab w:val="left" w:pos="576"/>
          <w:tab w:val="left" w:pos="2702"/>
        </w:tabs>
        <w:suppressAutoHyphens/>
        <w:kinsoku/>
        <w:overflowPunct w:val="0"/>
        <w:spacing w:line="578" w:lineRule="exact"/>
        <w:ind w:firstLine="630" w:firstLineChars="300"/>
        <w:jc w:val="both"/>
        <w:rPr>
          <w:color w:val="auto"/>
          <w:lang w:eastAsia="zh-CN"/>
        </w:rPr>
      </w:pP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sectPr>
          <w:headerReference r:id="rId8" w:type="default"/>
          <w:footerReference r:id="rId9" w:type="default"/>
          <w:pgSz w:w="11907" w:h="16839"/>
          <w:pgMar w:top="1428" w:right="1713" w:bottom="1666" w:left="1785" w:header="0" w:footer="1458" w:gutter="0"/>
          <w:pgNumType w:fmt="numberInDash"/>
          <w:cols w:space="720" w:num="1"/>
        </w:sectPr>
      </w:pPr>
      <w:bookmarkStart w:id="185" w:name="bookmark37"/>
      <w:bookmarkEnd w:id="185"/>
      <w:bookmarkStart w:id="186" w:name="bookmark36"/>
      <w:bookmarkEnd w:id="186"/>
    </w:p>
    <w:p>
      <w:pPr>
        <w:pStyle w:val="2"/>
        <w:keepNext w:val="0"/>
        <w:keepLines w:val="0"/>
        <w:widowControl w:val="0"/>
        <w:kinsoku/>
        <w:overflowPunct w:val="0"/>
        <w:autoSpaceDE/>
        <w:autoSpaceDN/>
        <w:adjustRightInd/>
        <w:snapToGrid/>
        <w:spacing w:line="578" w:lineRule="exact"/>
        <w:ind w:firstLine="0"/>
        <w:textAlignment w:val="auto"/>
        <w:rPr>
          <w:rFonts w:ascii="Times New Roman" w:hAnsi="Times New Roman" w:eastAsia="黑体" w:cs="Times New Roman"/>
          <w:snapToGrid/>
          <w:color w:val="auto"/>
          <w:lang w:eastAsia="zh-CN"/>
        </w:rPr>
      </w:pPr>
      <w:bookmarkStart w:id="187" w:name="bookmark38"/>
      <w:bookmarkEnd w:id="187"/>
      <w:bookmarkStart w:id="188" w:name="bookmark41"/>
      <w:bookmarkEnd w:id="188"/>
      <w:bookmarkStart w:id="189" w:name="bookmark39"/>
      <w:bookmarkEnd w:id="189"/>
      <w:bookmarkStart w:id="190" w:name="_Toc812754849"/>
      <w:bookmarkStart w:id="191" w:name="_Toc159480481"/>
      <w:bookmarkStart w:id="192" w:name="_Toc456402046"/>
      <w:bookmarkStart w:id="193" w:name="_Toc2109966011"/>
      <w:bookmarkStart w:id="194" w:name="_Toc1603363725"/>
      <w:bookmarkStart w:id="195" w:name="_Toc716329238"/>
      <w:bookmarkStart w:id="196" w:name="_Toc1711193309"/>
      <w:bookmarkStart w:id="197" w:name="_Toc1187726178"/>
      <w:r>
        <w:rPr>
          <w:rFonts w:hint="eastAsia" w:ascii="Times New Roman" w:hAnsi="Times New Roman" w:eastAsia="黑体" w:cs="Times New Roman"/>
          <w:snapToGrid/>
          <w:color w:val="auto"/>
          <w:lang w:eastAsia="zh-CN"/>
        </w:rPr>
        <w:t>支撑保障体系</w:t>
      </w:r>
      <w:bookmarkEnd w:id="190"/>
      <w:bookmarkEnd w:id="191"/>
      <w:bookmarkEnd w:id="192"/>
      <w:bookmarkEnd w:id="193"/>
      <w:bookmarkEnd w:id="194"/>
      <w:bookmarkEnd w:id="195"/>
      <w:bookmarkEnd w:id="196"/>
      <w:bookmarkEnd w:id="197"/>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198" w:name="bookmark40"/>
      <w:bookmarkEnd w:id="198"/>
      <w:bookmarkStart w:id="199" w:name="_Toc2007680592"/>
      <w:bookmarkStart w:id="200" w:name="_Toc1627347215"/>
      <w:bookmarkStart w:id="201" w:name="_Toc1083353268"/>
      <w:bookmarkStart w:id="202" w:name="_Toc1277425210"/>
      <w:bookmarkStart w:id="203" w:name="_Toc2039340656"/>
      <w:bookmarkStart w:id="204" w:name="_Toc52268248"/>
      <w:bookmarkStart w:id="205" w:name="_Toc1133592615"/>
      <w:bookmarkStart w:id="206" w:name="_Toc781328149"/>
      <w:r>
        <w:rPr>
          <w:rFonts w:hint="eastAsia" w:ascii="楷体_GB2312" w:hAnsi="楷体_GB2312" w:eastAsia="楷体_GB2312" w:cs="楷体_GB2312"/>
          <w:b/>
          <w:bCs w:val="0"/>
          <w:snapToGrid/>
          <w:color w:val="auto"/>
          <w:kern w:val="2"/>
          <w:sz w:val="32"/>
          <w:lang w:eastAsia="zh-CN"/>
        </w:rPr>
        <w:t>5.1  一般要求</w:t>
      </w:r>
      <w:bookmarkEnd w:id="199"/>
      <w:bookmarkEnd w:id="200"/>
      <w:bookmarkEnd w:id="201"/>
      <w:bookmarkEnd w:id="202"/>
      <w:bookmarkEnd w:id="203"/>
      <w:bookmarkEnd w:id="204"/>
      <w:bookmarkEnd w:id="205"/>
      <w:bookmarkEnd w:id="206"/>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5.1.1  支撑保障体系包括管理中心及分中心、应用支撑平台、数据中心和通信网络等。</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5.1.2  应充分利用灌区现有的条件和基础设施设备。</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07" w:name="_Toc1428879519"/>
      <w:bookmarkStart w:id="208" w:name="_Toc1809166272"/>
      <w:bookmarkStart w:id="209" w:name="_Toc685089400"/>
      <w:bookmarkStart w:id="210" w:name="_Toc720090171"/>
      <w:bookmarkStart w:id="211" w:name="_Toc1413372150"/>
      <w:bookmarkStart w:id="212" w:name="_Toc2143027992"/>
      <w:bookmarkStart w:id="213" w:name="_Toc1625962414"/>
      <w:bookmarkStart w:id="214" w:name="_Toc942078384"/>
      <w:r>
        <w:rPr>
          <w:rFonts w:hint="eastAsia" w:ascii="楷体_GB2312" w:hAnsi="楷体_GB2312" w:eastAsia="楷体_GB2312" w:cs="楷体_GB2312"/>
          <w:b/>
          <w:bCs w:val="0"/>
          <w:snapToGrid/>
          <w:color w:val="auto"/>
          <w:kern w:val="2"/>
          <w:sz w:val="32"/>
          <w:lang w:eastAsia="zh-CN"/>
        </w:rPr>
        <w:t>5.2  管理中心及分中心</w:t>
      </w:r>
      <w:bookmarkEnd w:id="207"/>
      <w:bookmarkEnd w:id="208"/>
      <w:bookmarkEnd w:id="209"/>
      <w:bookmarkEnd w:id="210"/>
      <w:bookmarkEnd w:id="211"/>
      <w:bookmarkEnd w:id="212"/>
      <w:bookmarkEnd w:id="213"/>
      <w:bookmarkEnd w:id="214"/>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5.2.1  应根据灌区管理的组织结构，设置管理中心及分中心，满足分区管理的需求。</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5.2.2  管理中心宜设置在灌区主管机构内，并作为业务会商、应急指挥、视频会议、信息交流等活动的场所。</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5.2.3  管理分中心宜设置在灌区分级管理机构内，可根据管理中心的授权，进行基层感知数据的查看及自动控制设备的操作等，并可跟管理中心进行视频会议。</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5.2.4  管理中心宜设置调度中心、会商中心等。管理分中心可根据需要设置分中心机房、 调度室、会议室等。</w:t>
      </w:r>
      <w:r>
        <w:rPr>
          <w:rFonts w:hint="eastAsia" w:ascii="Times New Roman" w:hAnsi="Times New Roman" w:eastAsia="仿宋_GB2312"/>
          <w:color w:val="auto"/>
          <w:sz w:val="32"/>
          <w:lang w:eastAsia="zh-CN"/>
        </w:rPr>
        <w:tab/>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15" w:name="_Toc25284394"/>
      <w:bookmarkStart w:id="216" w:name="_Toc1234444370"/>
      <w:bookmarkStart w:id="217" w:name="_Toc87105780"/>
      <w:bookmarkStart w:id="218" w:name="_Toc527656674"/>
      <w:bookmarkStart w:id="219" w:name="_Toc1661136040"/>
      <w:bookmarkStart w:id="220" w:name="_Toc412185961"/>
      <w:bookmarkStart w:id="221" w:name="_Toc1916243620"/>
      <w:bookmarkStart w:id="222" w:name="_Toc1434142691"/>
      <w:r>
        <w:rPr>
          <w:rFonts w:hint="eastAsia" w:ascii="楷体_GB2312" w:hAnsi="楷体_GB2312" w:eastAsia="楷体_GB2312" w:cs="楷体_GB2312"/>
          <w:b/>
          <w:bCs w:val="0"/>
          <w:snapToGrid/>
          <w:color w:val="auto"/>
          <w:kern w:val="2"/>
          <w:sz w:val="32"/>
          <w:lang w:eastAsia="zh-CN"/>
        </w:rPr>
        <w:t>5.3  应用支撑平台</w:t>
      </w:r>
      <w:bookmarkEnd w:id="215"/>
      <w:bookmarkEnd w:id="216"/>
      <w:bookmarkEnd w:id="217"/>
      <w:bookmarkEnd w:id="218"/>
      <w:bookmarkEnd w:id="219"/>
      <w:bookmarkEnd w:id="220"/>
      <w:bookmarkEnd w:id="221"/>
      <w:bookmarkEnd w:id="222"/>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5.3.1  灌区在搭建业务应用过程应建设专用数据资源共享平台（或者组件），能实现系统主要数据资源的统一向外共享和应用服务。</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5.3.2  平台应建立统一编码、高效属性识别的数据库，并配备完整的数据字典，灌区数据库设计与开发应符合SL/T 213、SL/T 809中对于水利对象及灌排工程基础数据库的分类与编码规定。</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 xml:space="preserve">5.3.3 业务管理有专业模型建设需求的灌区，要建设模型管理平台，专业模型要完成封装并能提供服务管理和调用功能。 </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23" w:name="_Toc1843951650"/>
      <w:bookmarkStart w:id="224" w:name="_Toc463786304"/>
      <w:bookmarkStart w:id="225" w:name="_Toc320846419"/>
      <w:bookmarkStart w:id="226" w:name="_Toc1226108669"/>
      <w:bookmarkStart w:id="227" w:name="_Toc1451196891"/>
      <w:bookmarkStart w:id="228" w:name="_Toc2109970969"/>
      <w:bookmarkStart w:id="229" w:name="_Toc1369316595"/>
      <w:bookmarkStart w:id="230" w:name="_Toc399321707"/>
      <w:r>
        <w:rPr>
          <w:rFonts w:hint="eastAsia" w:ascii="楷体_GB2312" w:hAnsi="楷体_GB2312" w:eastAsia="楷体_GB2312" w:cs="楷体_GB2312"/>
          <w:b/>
          <w:bCs w:val="0"/>
          <w:snapToGrid/>
          <w:color w:val="auto"/>
          <w:kern w:val="2"/>
          <w:sz w:val="32"/>
          <w:lang w:eastAsia="zh-CN"/>
        </w:rPr>
        <w:t>5.4  数据中心</w:t>
      </w:r>
      <w:bookmarkEnd w:id="223"/>
      <w:bookmarkEnd w:id="224"/>
      <w:bookmarkEnd w:id="225"/>
      <w:bookmarkEnd w:id="226"/>
      <w:bookmarkEnd w:id="227"/>
      <w:bookmarkEnd w:id="228"/>
      <w:bookmarkEnd w:id="229"/>
      <w:bookmarkEnd w:id="230"/>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5.4.1  数据中心设计宜优先采用政务云。可自建数据机房，自建数据中心应根据GB 50174设计，设备及软件满足国家信创相关要求。</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5.4.2  配置的基础软件包括地理信息、数据库、操作系统、中间件等，应具备统一认证、统一门户、运维监控、日志采集、空间信息分析、信息交换、报告生成等能力。</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5.4.3  租用公有云或接入省政务云、市县政务云的灌区单位，已建数据中心可作为异地灾备中心。</w:t>
      </w:r>
    </w:p>
    <w:p>
      <w:pPr>
        <w:pStyle w:val="3"/>
        <w:keepNext w:val="0"/>
        <w:keepLines w:val="0"/>
        <w:pageBreakBefore w:val="0"/>
        <w:widowControl w:val="0"/>
        <w:numPr>
          <w:ilvl w:val="255"/>
          <w:numId w:val="0"/>
        </w:numPr>
        <w:tabs>
          <w:tab w:val="left" w:pos="576"/>
        </w:tabs>
        <w:suppressAutoHyphens/>
        <w:kinsoku/>
        <w:wordWrap/>
        <w:overflowPunct w:val="0"/>
        <w:topLinePunct w:val="0"/>
        <w:autoSpaceDE/>
        <w:autoSpaceDN/>
        <w:bidi w:val="0"/>
        <w:adjustRightInd w:val="0"/>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31" w:name="_Toc721302929"/>
      <w:bookmarkStart w:id="232" w:name="_Toc1229316864"/>
      <w:bookmarkStart w:id="233" w:name="_Toc696548160"/>
      <w:bookmarkStart w:id="234" w:name="_Toc1806234397"/>
      <w:bookmarkStart w:id="235" w:name="_Toc2046916068"/>
      <w:bookmarkStart w:id="236" w:name="_Toc249691526"/>
      <w:bookmarkStart w:id="237" w:name="_Toc1788907357"/>
      <w:bookmarkStart w:id="238" w:name="_Toc1082606061"/>
      <w:r>
        <w:rPr>
          <w:rFonts w:hint="eastAsia" w:ascii="楷体_GB2312" w:hAnsi="楷体_GB2312" w:eastAsia="楷体_GB2312" w:cs="楷体_GB2312"/>
          <w:b/>
          <w:bCs w:val="0"/>
          <w:snapToGrid/>
          <w:color w:val="auto"/>
          <w:kern w:val="2"/>
          <w:sz w:val="32"/>
          <w:lang w:eastAsia="zh-CN"/>
        </w:rPr>
        <w:t>5.5  通信网络</w:t>
      </w:r>
      <w:bookmarkEnd w:id="231"/>
      <w:bookmarkEnd w:id="232"/>
      <w:bookmarkEnd w:id="233"/>
      <w:bookmarkEnd w:id="234"/>
      <w:bookmarkEnd w:id="235"/>
      <w:bookmarkEnd w:id="236"/>
      <w:bookmarkEnd w:id="237"/>
      <w:bookmarkEnd w:id="238"/>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5.5.1  监测信息的网络接入，可采用无线或有线通信方式，优先选用公共网络通信，无公共网络通信地区可采用北斗卫星通信。</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5.5.2  监测信息通信应按SL</w:t>
      </w:r>
      <w:r>
        <w:rPr>
          <w:rFonts w:hint="eastAsia" w:ascii="Times New Roman" w:hAnsi="Times New Roman" w:eastAsia="仿宋_GB2312"/>
          <w:color w:val="auto"/>
          <w:sz w:val="32"/>
          <w:lang w:val="en-US" w:eastAsia="zh-CN"/>
        </w:rPr>
        <w:t>/T</w:t>
      </w:r>
      <w:r>
        <w:rPr>
          <w:rFonts w:hint="eastAsia" w:ascii="Times New Roman" w:hAnsi="Times New Roman" w:eastAsia="仿宋_GB2312"/>
          <w:color w:val="auto"/>
          <w:sz w:val="32"/>
          <w:lang w:eastAsia="zh-CN"/>
        </w:rPr>
        <w:t xml:space="preserve"> 651通信协议的规定执行。</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5.5.3  监测信息的网络接入费用，设计时应包含不少于3年的通信费。</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5.5.4  自动控制系统实时性要求较高、控制断面流量较大的下行控制命令设计网络接入，优先采用有线方式传送。小制口下行控制命令，经技术确认网络通信时延与安全满足要求时，也可采用公网无线通信网络。</w:t>
      </w:r>
    </w:p>
    <w:p>
      <w:pPr>
        <w:keepNext w:val="0"/>
        <w:keepLines w:val="0"/>
        <w:pageBreakBefore w:val="0"/>
        <w:numPr>
          <w:ilvl w:val="255"/>
          <w:numId w:val="0"/>
        </w:numPr>
        <w:tabs>
          <w:tab w:val="left" w:pos="576"/>
          <w:tab w:val="left" w:pos="2702"/>
        </w:tabs>
        <w:suppressAutoHyphens/>
        <w:kinsoku/>
        <w:wordWrap/>
        <w:overflowPunct w:val="0"/>
        <w:topLinePunct w:val="0"/>
        <w:bidi w:val="0"/>
        <w:adjustRightInd w:val="0"/>
        <w:spacing w:line="578" w:lineRule="exact"/>
        <w:ind w:firstLine="640" w:firstLineChars="200"/>
        <w:jc w:val="both"/>
        <w:rPr>
          <w:rFonts w:ascii="Times New Roman" w:hAnsi="Times New Roman" w:eastAsia="仿宋_GB2312"/>
          <w:color w:val="auto"/>
          <w:sz w:val="32"/>
          <w:lang w:eastAsia="zh-CN"/>
        </w:rPr>
        <w:sectPr>
          <w:headerReference r:id="rId10" w:type="default"/>
          <w:footerReference r:id="rId11" w:type="default"/>
          <w:pgSz w:w="11907" w:h="16839"/>
          <w:pgMar w:top="1431" w:right="1613" w:bottom="1664" w:left="1785" w:header="0" w:footer="1458" w:gutter="0"/>
          <w:pgNumType w:fmt="numberInDash"/>
          <w:cols w:space="720" w:num="1"/>
        </w:sectPr>
      </w:pPr>
      <w:r>
        <w:rPr>
          <w:rFonts w:hint="eastAsia" w:ascii="Times New Roman" w:hAnsi="Times New Roman" w:eastAsia="仿宋_GB2312"/>
          <w:color w:val="auto"/>
          <w:sz w:val="32"/>
          <w:lang w:eastAsia="zh-CN"/>
        </w:rPr>
        <w:t>5.5.5  灌区管理中心、分中心网络接入设计，应结合数据中心的设计，本地数据中心应设计包含一定年限的专用网络通信费；云数据中心设计宜使用原管理单位的网络基础，设计包含不少于3年的租赁费。</w:t>
      </w:r>
    </w:p>
    <w:p>
      <w:pPr>
        <w:pStyle w:val="2"/>
        <w:keepNext w:val="0"/>
        <w:keepLines w:val="0"/>
        <w:widowControl w:val="0"/>
        <w:kinsoku/>
        <w:overflowPunct w:val="0"/>
        <w:autoSpaceDE/>
        <w:autoSpaceDN/>
        <w:adjustRightInd/>
        <w:snapToGrid/>
        <w:spacing w:before="0" w:after="0" w:line="578" w:lineRule="exact"/>
        <w:ind w:firstLine="0"/>
        <w:textAlignment w:val="auto"/>
        <w:rPr>
          <w:rFonts w:ascii="Times New Roman" w:hAnsi="Times New Roman" w:eastAsia="黑体" w:cs="Times New Roman"/>
          <w:snapToGrid/>
          <w:color w:val="auto"/>
          <w:lang w:eastAsia="zh-CN"/>
        </w:rPr>
      </w:pPr>
      <w:bookmarkStart w:id="239" w:name="bookmark49"/>
      <w:bookmarkEnd w:id="239"/>
      <w:bookmarkStart w:id="240" w:name="bookmark51"/>
      <w:bookmarkEnd w:id="240"/>
      <w:bookmarkStart w:id="241" w:name="bookmark48"/>
      <w:bookmarkEnd w:id="241"/>
      <w:bookmarkStart w:id="242" w:name="_Toc2094576263"/>
      <w:bookmarkStart w:id="243" w:name="_Toc1487285188"/>
      <w:bookmarkStart w:id="244" w:name="_Toc937791978"/>
      <w:bookmarkStart w:id="245" w:name="_Toc1833635401"/>
      <w:bookmarkStart w:id="246" w:name="_Toc1099392989"/>
      <w:bookmarkStart w:id="247" w:name="_Toc1507423062"/>
      <w:bookmarkStart w:id="248" w:name="_Toc274266442"/>
      <w:bookmarkStart w:id="249" w:name="_Toc1612192651"/>
      <w:r>
        <w:rPr>
          <w:rFonts w:hint="eastAsia" w:ascii="Times New Roman" w:hAnsi="Times New Roman" w:eastAsia="黑体" w:cs="Times New Roman"/>
          <w:snapToGrid/>
          <w:color w:val="auto"/>
          <w:lang w:eastAsia="zh-CN"/>
        </w:rPr>
        <w:t>智慧应用体系</w:t>
      </w:r>
      <w:bookmarkEnd w:id="242"/>
      <w:bookmarkEnd w:id="243"/>
      <w:bookmarkEnd w:id="244"/>
      <w:bookmarkEnd w:id="245"/>
      <w:bookmarkEnd w:id="246"/>
      <w:bookmarkEnd w:id="247"/>
      <w:bookmarkEnd w:id="248"/>
      <w:bookmarkEnd w:id="249"/>
    </w:p>
    <w:p>
      <w:pPr>
        <w:spacing w:line="578" w:lineRule="exact"/>
        <w:rPr>
          <w:color w:val="auto"/>
          <w:lang w:eastAsia="zh-CN"/>
        </w:rPr>
      </w:pP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50" w:name="bookmark50"/>
      <w:bookmarkEnd w:id="250"/>
      <w:bookmarkStart w:id="251" w:name="_Toc1592403644"/>
      <w:bookmarkStart w:id="252" w:name="_Toc562025722"/>
      <w:bookmarkStart w:id="253" w:name="_Toc1535794648"/>
      <w:bookmarkStart w:id="254" w:name="_Toc15116226"/>
      <w:bookmarkStart w:id="255" w:name="_Toc741356985"/>
      <w:bookmarkStart w:id="256" w:name="_Toc1067603812"/>
      <w:bookmarkStart w:id="257" w:name="_Toc2107606842"/>
      <w:bookmarkStart w:id="258" w:name="_Toc663962021"/>
      <w:r>
        <w:rPr>
          <w:rFonts w:hint="eastAsia" w:ascii="楷体_GB2312" w:hAnsi="楷体_GB2312" w:eastAsia="楷体_GB2312" w:cs="楷体_GB2312"/>
          <w:b/>
          <w:bCs w:val="0"/>
          <w:snapToGrid/>
          <w:color w:val="auto"/>
          <w:kern w:val="2"/>
          <w:sz w:val="32"/>
          <w:lang w:eastAsia="zh-CN"/>
        </w:rPr>
        <w:t>6.1  一般规定</w:t>
      </w:r>
      <w:bookmarkEnd w:id="251"/>
      <w:bookmarkEnd w:id="252"/>
      <w:bookmarkEnd w:id="253"/>
      <w:bookmarkEnd w:id="254"/>
      <w:bookmarkEnd w:id="255"/>
      <w:bookmarkEnd w:id="256"/>
      <w:bookmarkEnd w:id="257"/>
      <w:bookmarkEnd w:id="258"/>
    </w:p>
    <w:p>
      <w:pPr>
        <w:widowControl w:val="0"/>
        <w:numPr>
          <w:ilvl w:val="255"/>
          <w:numId w:val="0"/>
        </w:numPr>
        <w:tabs>
          <w:tab w:val="left" w:pos="576"/>
          <w:tab w:val="left" w:pos="2702"/>
        </w:tabs>
        <w:suppressAutoHyphens/>
        <w:kinsoku/>
        <w:overflowPunct w:val="0"/>
        <w:autoSpaceDE/>
        <w:autoSpaceDN/>
        <w:snapToGrid/>
        <w:spacing w:line="578" w:lineRule="exact"/>
        <w:ind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6.1.1  灌区智慧应用包括灌区一张图、监测预警、供用水管理、工程管理、防汛管理、综合信息管理、系统管理等主要业务模块。</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6.1.2  系统建设应采用浏览器/服务器架构，结构宜采用分层分布式设计。应实现高内聚低耦合，具备开放和可扩展性能。</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6.1.3  应按照相关水行政主管部门及灌区管理需求，设置不少于三级权限。</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59" w:name="_Toc1684042534"/>
      <w:bookmarkStart w:id="260" w:name="_Toc961012770"/>
      <w:bookmarkStart w:id="261" w:name="_Toc575852631"/>
      <w:bookmarkStart w:id="262" w:name="_Toc1983706298"/>
      <w:bookmarkStart w:id="263" w:name="_Toc1369555537"/>
      <w:bookmarkStart w:id="264" w:name="_Toc1667824315"/>
      <w:bookmarkStart w:id="265" w:name="_Toc1218660305"/>
      <w:bookmarkStart w:id="266" w:name="_Toc298772743"/>
      <w:r>
        <w:rPr>
          <w:rFonts w:hint="eastAsia" w:ascii="楷体_GB2312" w:hAnsi="楷体_GB2312" w:eastAsia="楷体_GB2312" w:cs="楷体_GB2312"/>
          <w:b/>
          <w:bCs w:val="0"/>
          <w:snapToGrid/>
          <w:color w:val="auto"/>
          <w:kern w:val="2"/>
          <w:sz w:val="32"/>
          <w:lang w:eastAsia="zh-CN"/>
        </w:rPr>
        <w:t>6.2  灌区一张图</w:t>
      </w:r>
      <w:bookmarkEnd w:id="259"/>
      <w:bookmarkEnd w:id="260"/>
      <w:bookmarkEnd w:id="261"/>
      <w:bookmarkEnd w:id="262"/>
      <w:bookmarkEnd w:id="263"/>
      <w:bookmarkEnd w:id="264"/>
      <w:bookmarkEnd w:id="265"/>
      <w:bookmarkEnd w:id="266"/>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6.2.1  灌区一张图是基于GIS的灌区总体情况和管理要素的可视化展示，涵盖灌区基础信息、监测信息和统计信息等，为综合决策和业务管理提供基础支撑服务。</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6.2.2  灌区一张图宜包括灌区概况、基于图层管理的管理对象呈现、工程基础信息展示、监测预警信息展示、统计信息展示、地图工具等功能。</w:t>
      </w:r>
    </w:p>
    <w:p>
      <w:pPr>
        <w:numPr>
          <w:ilvl w:val="255"/>
          <w:numId w:val="0"/>
        </w:numPr>
        <w:tabs>
          <w:tab w:val="left" w:pos="576"/>
          <w:tab w:val="left" w:pos="2702"/>
        </w:tabs>
        <w:suppressAutoHyphens/>
        <w:kinsoku/>
        <w:overflowPunct w:val="0"/>
        <w:spacing w:line="578" w:lineRule="exact"/>
        <w:ind w:firstLine="0" w:firstLineChars="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6.2.3  灌区地理空间数据格式与精度，应不低于上报水利部审定的灌区一张图数据。</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67" w:name="_Toc1112382133"/>
      <w:bookmarkStart w:id="268" w:name="_Toc643583480"/>
      <w:bookmarkStart w:id="269" w:name="_Toc102553750"/>
      <w:bookmarkStart w:id="270" w:name="_Toc2144399422"/>
      <w:bookmarkStart w:id="271" w:name="_Toc441793289"/>
      <w:bookmarkStart w:id="272" w:name="_Toc1211145514"/>
      <w:bookmarkStart w:id="273" w:name="_Toc1236073999"/>
      <w:bookmarkStart w:id="274" w:name="_Toc16085918"/>
      <w:r>
        <w:rPr>
          <w:rFonts w:hint="eastAsia" w:ascii="楷体_GB2312" w:hAnsi="楷体_GB2312" w:eastAsia="楷体_GB2312" w:cs="楷体_GB2312"/>
          <w:b/>
          <w:bCs w:val="0"/>
          <w:snapToGrid/>
          <w:color w:val="auto"/>
          <w:kern w:val="2"/>
          <w:sz w:val="32"/>
          <w:lang w:eastAsia="zh-CN"/>
        </w:rPr>
        <w:t>6.3  监测预警</w:t>
      </w:r>
      <w:bookmarkEnd w:id="267"/>
      <w:bookmarkEnd w:id="268"/>
      <w:bookmarkEnd w:id="269"/>
      <w:bookmarkEnd w:id="270"/>
      <w:bookmarkEnd w:id="271"/>
      <w:bookmarkEnd w:id="272"/>
      <w:bookmarkEnd w:id="273"/>
      <w:bookmarkEnd w:id="274"/>
    </w:p>
    <w:p>
      <w:pPr>
        <w:spacing w:line="578" w:lineRule="exact"/>
        <w:ind w:firstLine="640" w:firstLineChars="200"/>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6.3.1  监测预警系统应统筹灌区用水量、水雨情、水资源、工程安全、视频监控、土壤墒情等监测设施设备信息、监测监控信息及预警信息，支撑灌区感知体系和实时状态的综合管理。</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6.3.2  系统宜包括监测设备接入及管理、监测数据管理、视频监控管理、预警规则管理及预警信息管理等模块。</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75" w:name="_Toc1037564072"/>
      <w:bookmarkStart w:id="276" w:name="_Toc1174373242"/>
      <w:bookmarkStart w:id="277" w:name="_Toc429318632"/>
      <w:bookmarkStart w:id="278" w:name="_Toc929690547"/>
      <w:bookmarkStart w:id="279" w:name="_Toc1474863320"/>
      <w:bookmarkStart w:id="280" w:name="_Toc36439612"/>
      <w:bookmarkStart w:id="281" w:name="_Toc1770067144"/>
      <w:bookmarkStart w:id="282" w:name="_Toc1801547828"/>
      <w:r>
        <w:rPr>
          <w:rFonts w:hint="eastAsia" w:ascii="楷体_GB2312" w:hAnsi="楷体_GB2312" w:eastAsia="楷体_GB2312" w:cs="楷体_GB2312"/>
          <w:b/>
          <w:bCs w:val="0"/>
          <w:snapToGrid/>
          <w:color w:val="auto"/>
          <w:kern w:val="2"/>
          <w:sz w:val="32"/>
          <w:lang w:eastAsia="zh-CN"/>
        </w:rPr>
        <w:t>6.4  供用水管理</w:t>
      </w:r>
      <w:bookmarkEnd w:id="275"/>
      <w:bookmarkEnd w:id="276"/>
      <w:bookmarkEnd w:id="277"/>
      <w:bookmarkEnd w:id="278"/>
      <w:bookmarkEnd w:id="279"/>
      <w:bookmarkEnd w:id="280"/>
      <w:bookmarkEnd w:id="281"/>
      <w:bookmarkEnd w:id="282"/>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6.4.1 供用水管理系统支撑灌区取水、供水、用水、水费计收全过程业务，保障灌区水资源优化配置、科学调度、高效利用管理。</w:t>
      </w:r>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6.4.2  系统宜包括取用水户管理、供水计划、水量调度、用水统计、水权水价改革等模块。</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83" w:name="_Toc739384021"/>
      <w:bookmarkStart w:id="284" w:name="_Toc1590620760"/>
      <w:bookmarkStart w:id="285" w:name="_Toc588009525"/>
      <w:bookmarkStart w:id="286" w:name="_Toc1259470948"/>
      <w:bookmarkStart w:id="287" w:name="_Toc785030673"/>
      <w:bookmarkStart w:id="288" w:name="_Toc1593992369"/>
      <w:bookmarkStart w:id="289" w:name="_Toc945402082"/>
      <w:bookmarkStart w:id="290" w:name="_Toc1091906010"/>
      <w:r>
        <w:rPr>
          <w:rFonts w:hint="eastAsia" w:ascii="楷体_GB2312" w:hAnsi="楷体_GB2312" w:eastAsia="楷体_GB2312" w:cs="楷体_GB2312"/>
          <w:b/>
          <w:bCs w:val="0"/>
          <w:snapToGrid/>
          <w:color w:val="auto"/>
          <w:kern w:val="2"/>
          <w:sz w:val="32"/>
          <w:lang w:eastAsia="zh-CN"/>
        </w:rPr>
        <w:t>6.5  工程管理</w:t>
      </w:r>
      <w:bookmarkEnd w:id="283"/>
      <w:bookmarkEnd w:id="284"/>
      <w:bookmarkEnd w:id="285"/>
      <w:bookmarkEnd w:id="286"/>
      <w:bookmarkEnd w:id="287"/>
      <w:bookmarkEnd w:id="288"/>
      <w:bookmarkEnd w:id="289"/>
      <w:bookmarkEnd w:id="290"/>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6.5.1  工程管理系统支撑灌区规划、工程建设、日常运行维护和事故应急处置全过程业务，保障灌区工程的规范化管理。</w:t>
      </w:r>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6.5.2  系统宜包括工程信息管理、灌区规划管理、工程建设管理、维修养护、巡查管理、隐患管理等模块。</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91" w:name="_Toc115634473"/>
      <w:bookmarkStart w:id="292" w:name="_Toc1933362018"/>
      <w:bookmarkStart w:id="293" w:name="_Toc1946578553"/>
      <w:bookmarkStart w:id="294" w:name="_Toc309743940"/>
      <w:bookmarkStart w:id="295" w:name="_Toc1153174065"/>
      <w:bookmarkStart w:id="296" w:name="_Toc1506123785"/>
      <w:bookmarkStart w:id="297" w:name="_Toc847569307"/>
      <w:bookmarkStart w:id="298" w:name="_Toc1624077588"/>
      <w:r>
        <w:rPr>
          <w:rFonts w:hint="eastAsia" w:ascii="楷体_GB2312" w:hAnsi="楷体_GB2312" w:eastAsia="楷体_GB2312" w:cs="楷体_GB2312"/>
          <w:b/>
          <w:bCs w:val="0"/>
          <w:snapToGrid/>
          <w:color w:val="auto"/>
          <w:kern w:val="2"/>
          <w:sz w:val="32"/>
          <w:lang w:eastAsia="zh-CN"/>
        </w:rPr>
        <w:t>6.6  防汛管理</w:t>
      </w:r>
      <w:bookmarkEnd w:id="291"/>
      <w:bookmarkEnd w:id="292"/>
      <w:bookmarkEnd w:id="293"/>
      <w:bookmarkEnd w:id="294"/>
      <w:bookmarkEnd w:id="295"/>
      <w:bookmarkEnd w:id="296"/>
      <w:bookmarkEnd w:id="297"/>
      <w:bookmarkEnd w:id="298"/>
    </w:p>
    <w:p>
      <w:pPr>
        <w:numPr>
          <w:ilvl w:val="255"/>
          <w:numId w:val="0"/>
        </w:numPr>
        <w:tabs>
          <w:tab w:val="left" w:pos="576"/>
          <w:tab w:val="left" w:pos="2702"/>
        </w:tabs>
        <w:kinsoku/>
        <w:overflowPunct w:val="0"/>
        <w:spacing w:line="578" w:lineRule="exact"/>
        <w:ind w:firstLine="640" w:firstLineChars="200"/>
        <w:jc w:val="both"/>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6.6.1  防汛管理系统支撑灌区来水预报、场景预演、风险预警、调度处置业务，保障灌区防洪安全。</w:t>
      </w:r>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6.6.2  系统宜包括来水预报、风险研判、工程调度、应急处置、预案管理、物资管理等模块。</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299" w:name="_Toc555105077"/>
      <w:bookmarkStart w:id="300" w:name="_Toc1849397623"/>
      <w:bookmarkStart w:id="301" w:name="_Toc760192564"/>
      <w:bookmarkStart w:id="302" w:name="_Toc1703296226"/>
      <w:bookmarkStart w:id="303" w:name="_Toc1323191382"/>
      <w:bookmarkStart w:id="304" w:name="_Toc2056651332"/>
      <w:bookmarkStart w:id="305" w:name="_Toc2028405056"/>
      <w:bookmarkStart w:id="306" w:name="_Toc2078660698"/>
      <w:r>
        <w:rPr>
          <w:rFonts w:hint="eastAsia" w:ascii="楷体_GB2312" w:hAnsi="楷体_GB2312" w:eastAsia="楷体_GB2312" w:cs="楷体_GB2312"/>
          <w:b/>
          <w:bCs w:val="0"/>
          <w:snapToGrid/>
          <w:color w:val="auto"/>
          <w:kern w:val="2"/>
          <w:sz w:val="32"/>
          <w:lang w:eastAsia="zh-CN"/>
        </w:rPr>
        <w:t>6.7  综合信息管理</w:t>
      </w:r>
      <w:bookmarkEnd w:id="299"/>
      <w:bookmarkEnd w:id="300"/>
      <w:bookmarkEnd w:id="301"/>
      <w:bookmarkEnd w:id="302"/>
      <w:bookmarkEnd w:id="303"/>
      <w:bookmarkEnd w:id="304"/>
      <w:bookmarkEnd w:id="305"/>
      <w:bookmarkEnd w:id="306"/>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6.7.1  综合信息管理统筹灌区基础信息、档案资料等，支撑灌区信息的更新维护和与上级平台的共享交换。</w:t>
      </w:r>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6.7.2  系统宜包括信息维护、档案管理、共享交换等模块。</w:t>
      </w:r>
    </w:p>
    <w:p>
      <w:pPr>
        <w:pStyle w:val="3"/>
        <w:keepNext w:val="0"/>
        <w:keepLines w:val="0"/>
        <w:widowControl w:val="0"/>
        <w:numPr>
          <w:ilvl w:val="255"/>
          <w:numId w:val="0"/>
        </w:numPr>
        <w:tabs>
          <w:tab w:val="left" w:pos="576"/>
        </w:tabs>
        <w:suppressAutoHyphens/>
        <w:kinsoku/>
        <w:overflowPunct w:val="0"/>
        <w:autoSpaceDE/>
        <w:autoSpaceDN/>
        <w:snapToGrid/>
        <w:spacing w:before="0" w:after="0" w:line="578" w:lineRule="exact"/>
        <w:jc w:val="both"/>
        <w:textAlignment w:val="auto"/>
        <w:rPr>
          <w:rFonts w:hint="eastAsia" w:ascii="楷体_GB2312" w:hAnsi="楷体_GB2312" w:eastAsia="楷体_GB2312" w:cs="楷体_GB2312"/>
          <w:b/>
          <w:bCs w:val="0"/>
          <w:snapToGrid/>
          <w:color w:val="auto"/>
          <w:kern w:val="2"/>
          <w:sz w:val="32"/>
          <w:lang w:eastAsia="zh-CN"/>
        </w:rPr>
      </w:pPr>
      <w:bookmarkStart w:id="307" w:name="_Toc338032334"/>
      <w:bookmarkStart w:id="308" w:name="_Toc789014742"/>
      <w:bookmarkStart w:id="309" w:name="_Toc1764862947"/>
      <w:bookmarkStart w:id="310" w:name="_Toc1272462752"/>
      <w:bookmarkStart w:id="311" w:name="_Toc1107209775"/>
      <w:bookmarkStart w:id="312" w:name="_Toc164554080"/>
      <w:bookmarkStart w:id="313" w:name="_Toc737621621"/>
      <w:bookmarkStart w:id="314" w:name="_Toc1853635510"/>
      <w:r>
        <w:rPr>
          <w:rFonts w:hint="eastAsia" w:ascii="楷体_GB2312" w:hAnsi="楷体_GB2312" w:eastAsia="楷体_GB2312" w:cs="楷体_GB2312"/>
          <w:b/>
          <w:bCs w:val="0"/>
          <w:snapToGrid/>
          <w:color w:val="auto"/>
          <w:kern w:val="2"/>
          <w:sz w:val="32"/>
          <w:lang w:eastAsia="zh-CN"/>
        </w:rPr>
        <w:t>6.8  系统管理</w:t>
      </w:r>
      <w:bookmarkEnd w:id="307"/>
      <w:bookmarkEnd w:id="308"/>
      <w:bookmarkEnd w:id="309"/>
      <w:bookmarkEnd w:id="310"/>
      <w:bookmarkEnd w:id="311"/>
      <w:bookmarkEnd w:id="312"/>
      <w:bookmarkEnd w:id="313"/>
      <w:bookmarkEnd w:id="314"/>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w:t>
      </w:r>
      <w:r>
        <w:rPr>
          <w:rFonts w:hint="eastAsia" w:ascii="Times New Roman" w:hAnsi="Times New Roman" w:eastAsia="仿宋_GB2312"/>
          <w:color w:val="auto"/>
          <w:sz w:val="32"/>
          <w:lang w:val="en-US" w:eastAsia="zh-CN"/>
        </w:rPr>
        <w:t>8</w:t>
      </w:r>
      <w:r>
        <w:rPr>
          <w:rFonts w:hint="eastAsia" w:ascii="Times New Roman" w:hAnsi="Times New Roman" w:eastAsia="仿宋_GB2312"/>
          <w:color w:val="auto"/>
          <w:sz w:val="32"/>
          <w:lang w:eastAsia="zh-CN"/>
        </w:rPr>
        <w:t>.1  系统管理是保障系统正常运转，管理灌区平台的功能、用户、权限、操作记录等。</w:t>
      </w:r>
    </w:p>
    <w:p>
      <w:pPr>
        <w:numPr>
          <w:ilvl w:val="255"/>
          <w:numId w:val="0"/>
        </w:numPr>
        <w:tabs>
          <w:tab w:val="left" w:pos="576"/>
          <w:tab w:val="left" w:pos="2702"/>
        </w:tab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6.</w:t>
      </w:r>
      <w:r>
        <w:rPr>
          <w:rFonts w:hint="eastAsia" w:ascii="Times New Roman" w:hAnsi="Times New Roman" w:eastAsia="仿宋_GB2312"/>
          <w:color w:val="auto"/>
          <w:sz w:val="32"/>
          <w:lang w:val="en-US" w:eastAsia="zh-CN"/>
        </w:rPr>
        <w:t>8</w:t>
      </w:r>
      <w:r>
        <w:rPr>
          <w:rFonts w:hint="eastAsia" w:ascii="Times New Roman" w:hAnsi="Times New Roman" w:eastAsia="仿宋_GB2312"/>
          <w:color w:val="auto"/>
          <w:sz w:val="32"/>
          <w:lang w:eastAsia="zh-CN"/>
        </w:rPr>
        <w:t>.2  系统宜包括用户管理、角色管理、权限管理、菜单管理、日志管理等模块。</w:t>
      </w:r>
    </w:p>
    <w:p>
      <w:pPr>
        <w:pStyle w:val="13"/>
        <w:spacing w:line="578" w:lineRule="exact"/>
        <w:ind w:left="0" w:leftChars="0" w:firstLine="0" w:firstLineChars="0"/>
        <w:rPr>
          <w:rFonts w:ascii="Times New Roman" w:hAnsi="Times New Roman" w:eastAsia="仿宋_GB2312"/>
          <w:color w:val="auto"/>
          <w:sz w:val="32"/>
          <w:lang w:eastAsia="zh-CN"/>
        </w:rPr>
      </w:pPr>
    </w:p>
    <w:p>
      <w:pPr>
        <w:pStyle w:val="13"/>
        <w:spacing w:line="578" w:lineRule="exact"/>
        <w:ind w:firstLine="424"/>
        <w:rPr>
          <w:color w:val="auto"/>
          <w:lang w:eastAsia="zh-CN"/>
        </w:rPr>
      </w:pPr>
    </w:p>
    <w:p>
      <w:pPr>
        <w:pStyle w:val="13"/>
        <w:spacing w:line="578" w:lineRule="exact"/>
        <w:ind w:firstLine="424"/>
        <w:rPr>
          <w:color w:val="auto"/>
          <w:lang w:eastAsia="zh-CN"/>
        </w:rPr>
      </w:pP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br w:type="page"/>
      </w:r>
    </w:p>
    <w:p>
      <w:pPr>
        <w:pStyle w:val="2"/>
        <w:keepNext w:val="0"/>
        <w:keepLines w:val="0"/>
        <w:widowControl w:val="0"/>
        <w:numPr>
          <w:ilvl w:val="0"/>
          <w:numId w:val="0"/>
        </w:numPr>
        <w:kinsoku/>
        <w:overflowPunct w:val="0"/>
        <w:autoSpaceDE/>
        <w:autoSpaceDN/>
        <w:adjustRightInd/>
        <w:snapToGrid/>
        <w:spacing w:before="0" w:after="0" w:line="578" w:lineRule="exact"/>
        <w:textAlignment w:val="auto"/>
        <w:rPr>
          <w:rFonts w:ascii="Times New Roman" w:hAnsi="Times New Roman" w:eastAsia="黑体" w:cs="Times New Roman"/>
          <w:snapToGrid/>
          <w:color w:val="auto"/>
          <w:lang w:eastAsia="zh-CN"/>
        </w:rPr>
      </w:pPr>
      <w:bookmarkStart w:id="315" w:name="bookmark73"/>
      <w:bookmarkEnd w:id="315"/>
      <w:bookmarkStart w:id="316" w:name="bookmark74"/>
      <w:bookmarkEnd w:id="316"/>
      <w:bookmarkStart w:id="317" w:name="bookmark59"/>
      <w:bookmarkEnd w:id="317"/>
      <w:bookmarkStart w:id="318" w:name="bookmark56"/>
      <w:bookmarkEnd w:id="318"/>
      <w:bookmarkStart w:id="319" w:name="bookmark57"/>
      <w:bookmarkEnd w:id="319"/>
      <w:bookmarkStart w:id="320" w:name="_Toc84036888"/>
      <w:bookmarkStart w:id="321" w:name="_Toc1092373691"/>
      <w:bookmarkStart w:id="322" w:name="_Toc2048998014"/>
      <w:bookmarkStart w:id="323" w:name="_Toc1362658365"/>
      <w:bookmarkStart w:id="324" w:name="_Toc835979347"/>
      <w:bookmarkStart w:id="325" w:name="_Toc1475538473"/>
      <w:bookmarkStart w:id="326" w:name="_Toc1113542269"/>
      <w:bookmarkStart w:id="327" w:name="_Toc991163325"/>
      <w:r>
        <w:rPr>
          <w:rFonts w:hint="eastAsia" w:ascii="Times New Roman" w:hAnsi="Times New Roman" w:eastAsia="黑体" w:cs="Times New Roman"/>
          <w:snapToGrid/>
          <w:color w:val="auto"/>
          <w:lang w:eastAsia="zh-CN"/>
        </w:rPr>
        <w:t xml:space="preserve">7 </w:t>
      </w:r>
      <w:bookmarkEnd w:id="320"/>
      <w:bookmarkEnd w:id="321"/>
      <w:bookmarkEnd w:id="322"/>
      <w:bookmarkEnd w:id="323"/>
      <w:bookmarkEnd w:id="324"/>
      <w:bookmarkEnd w:id="325"/>
      <w:bookmarkEnd w:id="326"/>
      <w:bookmarkEnd w:id="327"/>
      <w:r>
        <w:rPr>
          <w:rFonts w:hint="eastAsia" w:ascii="Times New Roman" w:hAnsi="Times New Roman" w:eastAsia="黑体" w:cs="Times New Roman"/>
          <w:snapToGrid/>
          <w:color w:val="auto"/>
          <w:lang w:eastAsia="zh-CN"/>
        </w:rPr>
        <w:t>共享交换体系</w:t>
      </w:r>
    </w:p>
    <w:p>
      <w:pPr>
        <w:spacing w:line="578" w:lineRule="exact"/>
        <w:outlineLvl w:val="1"/>
        <w:rPr>
          <w:rFonts w:hint="eastAsia" w:ascii="楷体_GB2312" w:hAnsi="楷体_GB2312" w:eastAsia="楷体_GB2312" w:cs="楷体_GB2312"/>
          <w:b/>
          <w:snapToGrid/>
          <w:color w:val="auto"/>
          <w:kern w:val="2"/>
          <w:sz w:val="32"/>
          <w:lang w:eastAsia="zh-CN"/>
        </w:rPr>
      </w:pPr>
      <w:bookmarkStart w:id="328" w:name="_Toc1746914760"/>
      <w:bookmarkStart w:id="329" w:name="_Toc574137769"/>
      <w:bookmarkStart w:id="330" w:name="_Toc264719969"/>
      <w:bookmarkStart w:id="331" w:name="_Toc840571146"/>
      <w:bookmarkStart w:id="332" w:name="_Toc1031101286"/>
      <w:bookmarkStart w:id="333" w:name="_Toc934900404"/>
      <w:bookmarkStart w:id="334" w:name="_Toc1330607451"/>
      <w:bookmarkStart w:id="335" w:name="_Toc1698653677"/>
      <w:r>
        <w:rPr>
          <w:rFonts w:hint="eastAsia" w:ascii="楷体_GB2312" w:hAnsi="楷体_GB2312" w:eastAsia="楷体_GB2312" w:cs="楷体_GB2312"/>
          <w:b/>
          <w:snapToGrid/>
          <w:color w:val="auto"/>
          <w:kern w:val="2"/>
          <w:sz w:val="32"/>
          <w:lang w:eastAsia="zh-CN"/>
        </w:rPr>
        <w:t>7.1  一般要求</w:t>
      </w:r>
      <w:bookmarkEnd w:id="328"/>
      <w:bookmarkEnd w:id="329"/>
      <w:bookmarkEnd w:id="330"/>
      <w:bookmarkEnd w:id="331"/>
      <w:bookmarkEnd w:id="332"/>
      <w:bookmarkEnd w:id="333"/>
      <w:bookmarkEnd w:id="334"/>
      <w:bookmarkEnd w:id="335"/>
    </w:p>
    <w:p>
      <w:pPr>
        <w:pStyle w:val="13"/>
        <w:spacing w:after="0" w:line="578" w:lineRule="exact"/>
        <w:ind w:left="0" w:leftChars="0"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pacing w:val="0"/>
          <w:sz w:val="32"/>
          <w:szCs w:val="21"/>
          <w:lang w:eastAsia="zh-CN"/>
        </w:rPr>
        <w:t>中型灌区信息化建设应实现与省平台数据共享交换，包括基础数据、空间数据、监测数据、业务数据等信息，规定数据项、数据格式、共享方式、共享频次等要求。</w:t>
      </w:r>
    </w:p>
    <w:p>
      <w:pPr>
        <w:spacing w:line="578" w:lineRule="exact"/>
        <w:outlineLvl w:val="1"/>
        <w:rPr>
          <w:rFonts w:hint="eastAsia" w:ascii="楷体_GB2312" w:hAnsi="楷体_GB2312" w:eastAsia="楷体_GB2312" w:cs="楷体_GB2312"/>
          <w:b/>
          <w:snapToGrid/>
          <w:color w:val="auto"/>
          <w:kern w:val="2"/>
          <w:sz w:val="32"/>
          <w:lang w:eastAsia="zh-CN"/>
        </w:rPr>
      </w:pPr>
      <w:bookmarkStart w:id="336" w:name="_Toc739624932"/>
      <w:bookmarkStart w:id="337" w:name="_Toc1413212739"/>
      <w:bookmarkStart w:id="338" w:name="_Toc93859299"/>
      <w:bookmarkStart w:id="339" w:name="_Toc1553002907"/>
      <w:bookmarkStart w:id="340" w:name="_Toc2118333486"/>
      <w:bookmarkStart w:id="341" w:name="_Toc499759387"/>
      <w:bookmarkStart w:id="342" w:name="_Toc1383351497"/>
      <w:bookmarkStart w:id="343" w:name="_Toc367843623"/>
      <w:r>
        <w:rPr>
          <w:rFonts w:hint="eastAsia" w:ascii="楷体_GB2312" w:hAnsi="楷体_GB2312" w:eastAsia="楷体_GB2312" w:cs="楷体_GB2312"/>
          <w:b/>
          <w:snapToGrid/>
          <w:color w:val="auto"/>
          <w:kern w:val="2"/>
          <w:sz w:val="32"/>
          <w:lang w:eastAsia="zh-CN"/>
        </w:rPr>
        <w:t>7.2  基础数据</w:t>
      </w:r>
      <w:bookmarkEnd w:id="336"/>
      <w:bookmarkEnd w:id="337"/>
      <w:bookmarkEnd w:id="338"/>
      <w:bookmarkEnd w:id="339"/>
      <w:bookmarkEnd w:id="340"/>
      <w:bookmarkEnd w:id="341"/>
      <w:bookmarkEnd w:id="342"/>
      <w:bookmarkEnd w:id="343"/>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7.2.1  基础数据共享交换包括灌区基础信息、灌区工程信息及管理体制机制信息等，基础数据按接口或填报形式共享，共享频次不低于1次/年。</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7.2.2  灌区基础信息包括灌区位置、灌区管理单位信息、水源类型、主要取水方式、设计灌溉面积、耕地面积、永久基本农田面积、耕地灌溉面积、有效灌溉面积、灌区内高标准农田面积、灌区渠系配套及完好情况、管道化长度等信息。</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7.2.3  工程基础信息包括渠首、骨干渠系、骨干排水沟、泵站、主要建筑物数量、工程特征信息及设施设备。</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7.2.4  管理体制机制信息包括管理体制及管理单位/组织基本情况，管理岗位、人员情况，管理有关制度，两费落实情况等信息。</w:t>
      </w:r>
    </w:p>
    <w:p>
      <w:pPr>
        <w:spacing w:line="578" w:lineRule="exact"/>
        <w:outlineLvl w:val="1"/>
        <w:rPr>
          <w:rFonts w:hint="eastAsia" w:ascii="楷体_GB2312" w:hAnsi="楷体_GB2312" w:eastAsia="楷体_GB2312" w:cs="楷体_GB2312"/>
          <w:b/>
          <w:snapToGrid/>
          <w:color w:val="auto"/>
          <w:kern w:val="2"/>
          <w:sz w:val="32"/>
          <w:lang w:eastAsia="zh-CN"/>
        </w:rPr>
      </w:pPr>
      <w:bookmarkStart w:id="344" w:name="_Toc1973583236"/>
      <w:bookmarkStart w:id="345" w:name="_Toc741220540"/>
      <w:bookmarkStart w:id="346" w:name="_Toc392862247"/>
      <w:bookmarkStart w:id="347" w:name="_Toc1535324795"/>
      <w:bookmarkStart w:id="348" w:name="_Toc740277089"/>
      <w:bookmarkStart w:id="349" w:name="_Toc420953654"/>
      <w:bookmarkStart w:id="350" w:name="_Toc1700361651"/>
      <w:bookmarkStart w:id="351" w:name="_Toc225595756"/>
      <w:r>
        <w:rPr>
          <w:rFonts w:hint="eastAsia" w:ascii="楷体_GB2312" w:hAnsi="楷体_GB2312" w:eastAsia="楷体_GB2312" w:cs="楷体_GB2312"/>
          <w:b/>
          <w:snapToGrid/>
          <w:color w:val="auto"/>
          <w:kern w:val="2"/>
          <w:sz w:val="32"/>
          <w:lang w:eastAsia="zh-CN"/>
        </w:rPr>
        <w:t>7.3  空间数据</w:t>
      </w:r>
      <w:bookmarkEnd w:id="344"/>
      <w:bookmarkEnd w:id="345"/>
      <w:bookmarkEnd w:id="346"/>
      <w:bookmarkEnd w:id="347"/>
      <w:bookmarkEnd w:id="348"/>
      <w:bookmarkEnd w:id="349"/>
      <w:bookmarkEnd w:id="350"/>
      <w:bookmarkEnd w:id="351"/>
    </w:p>
    <w:p>
      <w:pPr>
        <w:pStyle w:val="13"/>
        <w:numPr>
          <w:ilvl w:val="255"/>
          <w:numId w:val="0"/>
        </w:numPr>
        <w:spacing w:after="0" w:line="578" w:lineRule="exact"/>
        <w:ind w:left="0" w:leftChars="0" w:firstLine="648"/>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7.3.1  灌区一张图底图应与上报水利部审定的灌区一张图数据格式一致，精度不低于上报精度。</w:t>
      </w:r>
    </w:p>
    <w:p>
      <w:pPr>
        <w:pStyle w:val="13"/>
        <w:numPr>
          <w:ilvl w:val="255"/>
          <w:numId w:val="0"/>
        </w:numPr>
        <w:spacing w:after="0" w:line="578" w:lineRule="exact"/>
        <w:ind w:left="0" w:leftChars="0" w:firstLine="648"/>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7.3.2  灌区空间数据共享包括灌区外边界、内边界、工程矢量信息、管理保护范围边界等，空间数据按服务或文件形式共享，服务符合《水利空间数据交换协议》（SL/T 797）要求，当空间信息发生变化时共享。</w:t>
      </w:r>
    </w:p>
    <w:p>
      <w:pPr>
        <w:spacing w:line="578" w:lineRule="exact"/>
        <w:outlineLvl w:val="1"/>
        <w:rPr>
          <w:rFonts w:hint="eastAsia" w:ascii="楷体_GB2312" w:hAnsi="楷体_GB2312" w:eastAsia="楷体_GB2312" w:cs="楷体_GB2312"/>
          <w:b/>
          <w:snapToGrid/>
          <w:color w:val="auto"/>
          <w:kern w:val="2"/>
          <w:sz w:val="32"/>
          <w:lang w:eastAsia="zh-CN"/>
        </w:rPr>
      </w:pPr>
      <w:bookmarkStart w:id="352" w:name="_Toc1682390302"/>
      <w:bookmarkStart w:id="353" w:name="_Toc300804699"/>
      <w:bookmarkStart w:id="354" w:name="_Toc2023312937"/>
      <w:bookmarkStart w:id="355" w:name="_Toc1475164030"/>
      <w:bookmarkStart w:id="356" w:name="_Toc760614049"/>
      <w:bookmarkStart w:id="357" w:name="_Toc596918795"/>
      <w:bookmarkStart w:id="358" w:name="_Toc518905355"/>
      <w:bookmarkStart w:id="359" w:name="_Toc2124439214"/>
      <w:r>
        <w:rPr>
          <w:rFonts w:hint="eastAsia" w:ascii="楷体_GB2312" w:hAnsi="楷体_GB2312" w:eastAsia="楷体_GB2312" w:cs="楷体_GB2312"/>
          <w:b/>
          <w:snapToGrid/>
          <w:color w:val="auto"/>
          <w:kern w:val="2"/>
          <w:sz w:val="32"/>
          <w:lang w:eastAsia="zh-CN"/>
        </w:rPr>
        <w:t>7.4  监测数据</w:t>
      </w:r>
      <w:bookmarkEnd w:id="352"/>
      <w:bookmarkEnd w:id="353"/>
      <w:bookmarkEnd w:id="354"/>
      <w:bookmarkEnd w:id="355"/>
      <w:bookmarkEnd w:id="356"/>
      <w:bookmarkEnd w:id="357"/>
      <w:bookmarkEnd w:id="358"/>
      <w:bookmarkEnd w:id="359"/>
    </w:p>
    <w:p>
      <w:pPr>
        <w:pStyle w:val="13"/>
        <w:numPr>
          <w:ilvl w:val="255"/>
          <w:numId w:val="0"/>
        </w:numPr>
        <w:spacing w:after="0" w:line="578" w:lineRule="exact"/>
        <w:ind w:left="0" w:leftChars="0" w:firstLine="648"/>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7.4.1  监测数据共享交换包括灌区雨情监测数据，重要蓄水工程蓄水量数据，渠首、骨干分水口、骨干工程的量水监测设施数据，土壤墒情监测数据，水事影像等。监测数据按接口形式实时共享，数据交换应符合《水利数据交换规约》（SL/T 783 ）、《公共安全视频监控联网系统信息传输、交换、控制技术要求》（GB/T 28181）、《</w:t>
      </w:r>
      <w:r>
        <w:rPr>
          <w:rFonts w:hint="eastAsia" w:ascii="Times New Roman" w:hAnsi="Times New Roman" w:eastAsia="仿宋_GB2312" w:cs="Arial"/>
          <w:bCs/>
          <w:color w:val="auto"/>
          <w:spacing w:val="0"/>
          <w:sz w:val="32"/>
          <w:szCs w:val="32"/>
          <w:lang w:val="en-US" w:eastAsia="zh-CN"/>
        </w:rPr>
        <w:t>实时</w:t>
      </w:r>
      <w:r>
        <w:rPr>
          <w:rFonts w:hint="eastAsia" w:ascii="Times New Roman" w:hAnsi="Times New Roman" w:eastAsia="仿宋_GB2312"/>
          <w:color w:val="auto"/>
          <w:sz w:val="32"/>
          <w:lang w:eastAsia="zh-CN"/>
        </w:rPr>
        <w:t>雨水情数据库表结构与标识符》（SL 323）要求。</w:t>
      </w:r>
    </w:p>
    <w:p>
      <w:pPr>
        <w:spacing w:line="578" w:lineRule="exact"/>
        <w:outlineLvl w:val="1"/>
        <w:rPr>
          <w:rFonts w:hint="eastAsia" w:ascii="楷体_GB2312" w:hAnsi="楷体_GB2312" w:eastAsia="楷体_GB2312" w:cs="楷体_GB2312"/>
          <w:b/>
          <w:snapToGrid/>
          <w:color w:val="auto"/>
          <w:kern w:val="2"/>
          <w:sz w:val="32"/>
          <w:lang w:eastAsia="zh-CN"/>
        </w:rPr>
      </w:pPr>
      <w:bookmarkStart w:id="360" w:name="_Toc1437643742"/>
      <w:bookmarkStart w:id="361" w:name="_Toc631225703"/>
      <w:bookmarkStart w:id="362" w:name="_Toc1255204812"/>
      <w:bookmarkStart w:id="363" w:name="_Toc1907149426"/>
      <w:bookmarkStart w:id="364" w:name="_Toc166670675"/>
      <w:bookmarkStart w:id="365" w:name="_Toc1195532439"/>
      <w:bookmarkStart w:id="366" w:name="_Toc1268900413"/>
      <w:bookmarkStart w:id="367" w:name="_Toc162704015"/>
      <w:r>
        <w:rPr>
          <w:rFonts w:hint="eastAsia" w:ascii="楷体_GB2312" w:hAnsi="楷体_GB2312" w:eastAsia="楷体_GB2312" w:cs="楷体_GB2312"/>
          <w:b/>
          <w:snapToGrid/>
          <w:color w:val="auto"/>
          <w:kern w:val="2"/>
          <w:sz w:val="32"/>
          <w:lang w:eastAsia="zh-CN"/>
        </w:rPr>
        <w:t>7.5  业务数据</w:t>
      </w:r>
      <w:bookmarkEnd w:id="360"/>
      <w:bookmarkEnd w:id="361"/>
      <w:bookmarkEnd w:id="362"/>
      <w:bookmarkEnd w:id="363"/>
      <w:bookmarkEnd w:id="364"/>
      <w:bookmarkEnd w:id="365"/>
      <w:bookmarkEnd w:id="366"/>
      <w:bookmarkEnd w:id="367"/>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7.5.1  业务数据共享交换包括灌区农作物情况、供（用）水情况、灌溉开展情况、工程管理情况、农业水价综合改革情况及其他相关业务信息，业务数据按接口、填报或文件形式共享。</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7.5.2  灌区农作物情况包括种植结构，主要粮食作物、主要经济作物类型、播种面积和单产情况等，以接口或填报方式共享，共享频次不小于1次/年。</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7.5.3  灌区供（用）水情况包括灌区供水用途、取水许可情况、可供水量及年度需水计划、用水结构及用水量、年度用水计划及年度计划执行、计量设施安装情况、灌溉水利用系数等，以接口或填报方式共享，共享频次不小于1次/年。</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7.5.4  灌区灌溉开展情况包括年度用水计划实际执行情况、灌区春灌、夏灌、秋冬灌用水需求及统计等，以接口或填报方式共享，共享频次不小于2次/月。</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7.5.5  灌区工程管理情况包括灌区改造全过程信息（含项目申报、项目批复、财评招标、项目建设及监督、检查稽察、项目评估、项目验收及档案资料）、工程维修养护及岁修、重大水毁修复等，以接口形式实时共享。</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7.5.6  农业水价综合改革情况包括各级出台相关制度文件，包括农业水价成本监审或成本调查报告、所在地人民政府或相关部门发布的农业水价文件、精准补贴和节水奖励机制文件、灌区运行维护管理文件、年度分类水价执行、水费收取情况、运行维护费用投入、精准补贴及节水奖励资金统计、年度专项资金项目管理台账等信息，以文件、填报等方式共享，共享频次不小于1次/年。</w:t>
      </w:r>
    </w:p>
    <w:p>
      <w:pPr>
        <w:numPr>
          <w:ilvl w:val="255"/>
          <w:numId w:val="0"/>
        </w:numPr>
        <w:tabs>
          <w:tab w:val="left" w:pos="576"/>
          <w:tab w:val="left" w:pos="2702"/>
        </w:tabs>
        <w:suppressAutoHyphens/>
        <w:kinsoku/>
        <w:overflowPunct w:val="0"/>
        <w:spacing w:line="578" w:lineRule="exact"/>
        <w:ind w:firstLine="640" w:firstLineChars="200"/>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7.5.7  其他业务数据包括现代化灌区试点、农业用水权改革试点、数字孪生灌区试点建设等，标准化灌区、节水型灌区、世界灌排遗产、灌溉试验站、典型灌区风采展示等信息，以文字、图片形式共享，共享频次不小于1次/年。</w:t>
      </w:r>
    </w:p>
    <w:p>
      <w:pPr>
        <w:spacing w:line="578" w:lineRule="exact"/>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br w:type="page"/>
      </w:r>
    </w:p>
    <w:p>
      <w:pPr>
        <w:pStyle w:val="2"/>
        <w:keepNext w:val="0"/>
        <w:keepLines w:val="0"/>
        <w:widowControl w:val="0"/>
        <w:numPr>
          <w:ilvl w:val="0"/>
          <w:numId w:val="0"/>
        </w:numPr>
        <w:kinsoku/>
        <w:overflowPunct w:val="0"/>
        <w:autoSpaceDE/>
        <w:autoSpaceDN/>
        <w:adjustRightInd/>
        <w:snapToGrid/>
        <w:spacing w:line="578" w:lineRule="exact"/>
        <w:textAlignment w:val="auto"/>
        <w:rPr>
          <w:color w:val="auto"/>
          <w:lang w:eastAsia="zh-CN"/>
        </w:rPr>
      </w:pPr>
      <w:bookmarkStart w:id="368" w:name="_Toc803659406"/>
      <w:bookmarkStart w:id="369" w:name="_Toc1710804788"/>
      <w:bookmarkStart w:id="370" w:name="_Toc1203578116"/>
      <w:bookmarkStart w:id="371" w:name="_Toc2057702721"/>
      <w:bookmarkStart w:id="372" w:name="_Toc1163416746"/>
      <w:bookmarkStart w:id="373" w:name="_Toc1780918755"/>
      <w:bookmarkStart w:id="374" w:name="_Toc1863457562"/>
      <w:bookmarkStart w:id="375" w:name="_Toc1061580349"/>
      <w:r>
        <w:rPr>
          <w:rFonts w:hint="eastAsia" w:ascii="Times New Roman" w:hAnsi="Times New Roman" w:eastAsia="黑体" w:cs="Times New Roman"/>
          <w:snapToGrid/>
          <w:color w:val="auto"/>
          <w:lang w:eastAsia="zh-CN"/>
        </w:rPr>
        <w:t>8 网络安全</w:t>
      </w:r>
      <w:bookmarkEnd w:id="368"/>
      <w:bookmarkEnd w:id="369"/>
      <w:bookmarkEnd w:id="370"/>
      <w:bookmarkEnd w:id="371"/>
      <w:bookmarkEnd w:id="372"/>
      <w:bookmarkEnd w:id="373"/>
      <w:bookmarkEnd w:id="374"/>
      <w:bookmarkEnd w:id="375"/>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8.1</w:t>
      </w: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应根据GB/T 22240、SL/T 803等标准规范，确定系统安全保护等级，管理中心符合安全保护等级二级标准，分中心符合安全保护等级一级标准。</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8.2</w:t>
      </w: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物理环境的安全防护设计应符合GB/T 22239的有关规定。</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8.3</w:t>
      </w: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应充分利用国产软硬件、商用密码以及网络安全新技术。</w:t>
      </w:r>
    </w:p>
    <w:p>
      <w:pPr>
        <w:numPr>
          <w:ilvl w:val="255"/>
          <w:numId w:val="0"/>
        </w:numPr>
        <w:tabs>
          <w:tab w:val="left" w:pos="576"/>
          <w:tab w:val="left" w:pos="2702"/>
        </w:tabs>
        <w:suppressAutoHyphens/>
        <w:kinsoku/>
        <w:overflowPunct w:val="0"/>
        <w:spacing w:line="578" w:lineRule="exact"/>
        <w:jc w:val="both"/>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8.4</w:t>
      </w: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应落实网络安全管理机构和人员，建立网络安全责任制，明确网络安全管理机构和安全责任。</w:t>
      </w:r>
    </w:p>
    <w:p>
      <w:pPr>
        <w:numPr>
          <w:ilvl w:val="255"/>
          <w:numId w:val="0"/>
        </w:numPr>
        <w:tabs>
          <w:tab w:val="left" w:pos="576"/>
          <w:tab w:val="left" w:pos="2702"/>
        </w:tabs>
        <w:suppressAutoHyphens/>
        <w:kinsoku/>
        <w:overflowPunct w:val="0"/>
        <w:spacing w:line="578" w:lineRule="exact"/>
        <w:jc w:val="both"/>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8.5</w:t>
      </w:r>
      <w:r>
        <w:rPr>
          <w:rFonts w:hint="eastAsia" w:ascii="Times New Roman" w:hAnsi="Times New Roman" w:eastAsia="仿宋_GB2312"/>
          <w:color w:val="auto"/>
          <w:sz w:val="32"/>
          <w:lang w:eastAsia="zh-CN"/>
        </w:rPr>
        <w:tab/>
      </w:r>
      <w:r>
        <w:rPr>
          <w:rFonts w:hint="eastAsia" w:ascii="Times New Roman" w:hAnsi="Times New Roman" w:eastAsia="仿宋_GB2312"/>
          <w:color w:val="auto"/>
          <w:sz w:val="32"/>
          <w:lang w:eastAsia="zh-CN"/>
        </w:rPr>
        <w:t>应定期对关键业务数据进行备份，实现重要数据备份与恢复。</w:t>
      </w:r>
    </w:p>
    <w:p>
      <w:pPr>
        <w:numPr>
          <w:ilvl w:val="255"/>
          <w:numId w:val="0"/>
        </w:numPr>
        <w:tabs>
          <w:tab w:val="left" w:pos="576"/>
          <w:tab w:val="left" w:pos="2702"/>
        </w:tabs>
        <w:suppressAutoHyphens/>
        <w:kinsoku/>
        <w:overflowPunct w:val="0"/>
        <w:spacing w:line="578" w:lineRule="exact"/>
        <w:jc w:val="both"/>
        <w:rPr>
          <w:rFonts w:hint="eastAsia" w:ascii="Times New Roman" w:hAnsi="Times New Roman" w:eastAsia="仿宋_GB2312"/>
          <w:color w:val="auto"/>
          <w:sz w:val="32"/>
          <w:lang w:eastAsia="zh-CN"/>
        </w:rPr>
      </w:pPr>
    </w:p>
    <w:p>
      <w:pPr>
        <w:spacing w:line="578" w:lineRule="exact"/>
        <w:rPr>
          <w:color w:val="auto"/>
          <w:lang w:eastAsia="zh-CN"/>
        </w:rPr>
      </w:pPr>
    </w:p>
    <w:p>
      <w:pPr>
        <w:spacing w:line="578" w:lineRule="exact"/>
        <w:rPr>
          <w:color w:val="auto"/>
          <w:lang w:eastAsia="zh-CN"/>
        </w:rPr>
      </w:pPr>
      <w:r>
        <w:rPr>
          <w:color w:val="auto"/>
          <w:lang w:eastAsia="zh-CN"/>
        </w:rPr>
        <w:br w:type="page"/>
      </w:r>
    </w:p>
    <w:p>
      <w:pPr>
        <w:keepNext w:val="0"/>
        <w:keepLines w:val="0"/>
        <w:pageBreakBefore w:val="0"/>
        <w:widowControl/>
        <w:kinsoku w:val="0"/>
        <w:wordWrap/>
        <w:overflowPunct/>
        <w:topLinePunct w:val="0"/>
        <w:autoSpaceDE w:val="0"/>
        <w:autoSpaceDN w:val="0"/>
        <w:bidi w:val="0"/>
        <w:adjustRightInd w:val="0"/>
        <w:snapToGrid w:val="0"/>
        <w:spacing w:before="60" w:line="240" w:lineRule="auto"/>
        <w:ind w:left="51"/>
        <w:textAlignment w:val="baseline"/>
        <w:outlineLvl w:val="0"/>
        <w:rPr>
          <w:rFonts w:hint="eastAsia" w:ascii="黑体" w:hAnsi="黑体" w:eastAsia="黑体" w:cs="黑体"/>
          <w:b w:val="0"/>
          <w:bCs w:val="0"/>
          <w:color w:val="auto"/>
          <w:spacing w:val="-8"/>
          <w:sz w:val="32"/>
          <w:szCs w:val="32"/>
          <w:lang w:eastAsia="zh-CN"/>
        </w:rPr>
      </w:pPr>
      <w:bookmarkStart w:id="376" w:name="_Toc696490865"/>
      <w:bookmarkStart w:id="377" w:name="_Toc1746529620"/>
      <w:bookmarkStart w:id="378" w:name="_Toc1975770956"/>
      <w:bookmarkStart w:id="379" w:name="_Toc981713693"/>
      <w:bookmarkStart w:id="380" w:name="_Toc13791528"/>
      <w:bookmarkStart w:id="381" w:name="_Toc1969817782"/>
      <w:bookmarkStart w:id="382" w:name="_Toc66030701"/>
      <w:bookmarkStart w:id="383" w:name="_Toc137886574"/>
      <w:r>
        <w:rPr>
          <w:rFonts w:hint="eastAsia" w:ascii="黑体" w:hAnsi="黑体" w:eastAsia="黑体" w:cs="黑体"/>
          <w:b w:val="0"/>
          <w:bCs w:val="0"/>
          <w:color w:val="auto"/>
          <w:spacing w:val="-8"/>
          <w:sz w:val="32"/>
          <w:szCs w:val="32"/>
          <w:lang w:eastAsia="zh-CN"/>
        </w:rPr>
        <w:t>附件</w:t>
      </w:r>
      <w:r>
        <w:rPr>
          <w:rFonts w:hint="eastAsia" w:ascii="黑体" w:hAnsi="黑体" w:eastAsia="黑体" w:cs="黑体"/>
          <w:b w:val="0"/>
          <w:bCs w:val="0"/>
          <w:color w:val="auto"/>
          <w:spacing w:val="-8"/>
          <w:sz w:val="32"/>
          <w:szCs w:val="32"/>
          <w:lang w:val="en-US" w:eastAsia="zh-CN"/>
        </w:rPr>
        <w:t>1</w:t>
      </w:r>
      <w:r>
        <w:rPr>
          <w:rFonts w:hint="eastAsia" w:ascii="黑体" w:hAnsi="黑体" w:eastAsia="黑体" w:cs="黑体"/>
          <w:b w:val="0"/>
          <w:bCs w:val="0"/>
          <w:color w:val="auto"/>
          <w:spacing w:val="-8"/>
          <w:sz w:val="32"/>
          <w:szCs w:val="32"/>
          <w:lang w:eastAsia="zh-CN"/>
        </w:rPr>
        <w:t>：中型灌区信息化系统建设优先级划分表</w:t>
      </w:r>
      <w:bookmarkEnd w:id="376"/>
      <w:bookmarkEnd w:id="377"/>
      <w:bookmarkEnd w:id="378"/>
      <w:bookmarkEnd w:id="379"/>
      <w:bookmarkEnd w:id="380"/>
      <w:bookmarkEnd w:id="381"/>
      <w:bookmarkEnd w:id="382"/>
      <w:bookmarkEnd w:id="383"/>
    </w:p>
    <w:p>
      <w:pPr>
        <w:keepNext w:val="0"/>
        <w:keepLines w:val="0"/>
        <w:pageBreakBefore w:val="0"/>
        <w:widowControl/>
        <w:kinsoku w:val="0"/>
        <w:wordWrap/>
        <w:overflowPunct/>
        <w:topLinePunct w:val="0"/>
        <w:autoSpaceDE w:val="0"/>
        <w:autoSpaceDN w:val="0"/>
        <w:bidi w:val="0"/>
        <w:adjustRightInd w:val="0"/>
        <w:snapToGrid w:val="0"/>
        <w:spacing w:before="60" w:line="240" w:lineRule="auto"/>
        <w:ind w:left="51"/>
        <w:textAlignment w:val="baseline"/>
        <w:outlineLvl w:val="0"/>
        <w:rPr>
          <w:rFonts w:hint="eastAsia" w:ascii="黑体" w:hAnsi="黑体" w:eastAsia="黑体" w:cs="黑体"/>
          <w:b w:val="0"/>
          <w:bCs w:val="0"/>
          <w:color w:val="auto"/>
          <w:spacing w:val="-8"/>
          <w:sz w:val="32"/>
          <w:szCs w:val="32"/>
          <w:lang w:eastAsia="zh-CN"/>
        </w:rPr>
      </w:pPr>
    </w:p>
    <w:tbl>
      <w:tblPr>
        <w:tblStyle w:val="14"/>
        <w:tblW w:w="7230" w:type="dxa"/>
        <w:jc w:val="center"/>
        <w:tblLayout w:type="autofit"/>
        <w:tblCellMar>
          <w:top w:w="0" w:type="dxa"/>
          <w:left w:w="108" w:type="dxa"/>
          <w:bottom w:w="0" w:type="dxa"/>
          <w:right w:w="108" w:type="dxa"/>
        </w:tblCellMar>
      </w:tblPr>
      <w:tblGrid>
        <w:gridCol w:w="1080"/>
        <w:gridCol w:w="2010"/>
        <w:gridCol w:w="2595"/>
        <w:gridCol w:w="1545"/>
      </w:tblGrid>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b/>
                <w:bCs/>
                <w:color w:val="auto"/>
                <w:sz w:val="24"/>
                <w:szCs w:val="24"/>
              </w:rPr>
            </w:pPr>
            <w:r>
              <w:rPr>
                <w:rFonts w:ascii="宋体" w:hAnsi="宋体" w:eastAsia="宋体" w:cs="宋体"/>
                <w:b/>
                <w:bCs/>
                <w:color w:val="auto"/>
                <w:sz w:val="24"/>
                <w:szCs w:val="24"/>
                <w:lang w:eastAsia="zh-CN" w:bidi="ar"/>
              </w:rPr>
              <w:t>序号</w:t>
            </w:r>
          </w:p>
        </w:tc>
        <w:tc>
          <w:tcPr>
            <w:tcW w:w="4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b/>
                <w:bCs/>
                <w:color w:val="auto"/>
                <w:sz w:val="24"/>
                <w:szCs w:val="24"/>
              </w:rPr>
            </w:pPr>
            <w:r>
              <w:rPr>
                <w:rFonts w:ascii="宋体" w:hAnsi="宋体" w:eastAsia="宋体" w:cs="宋体"/>
                <w:b/>
                <w:bCs/>
                <w:color w:val="auto"/>
                <w:sz w:val="24"/>
                <w:szCs w:val="24"/>
                <w:lang w:eastAsia="zh-CN" w:bidi="ar"/>
              </w:rPr>
              <w:t>项目名称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b/>
                <w:bCs/>
                <w:color w:val="auto"/>
                <w:sz w:val="24"/>
                <w:szCs w:val="24"/>
              </w:rPr>
            </w:pPr>
            <w:r>
              <w:rPr>
                <w:rFonts w:ascii="宋体" w:hAnsi="宋体" w:eastAsia="宋体" w:cs="宋体"/>
                <w:b/>
                <w:bCs/>
                <w:color w:val="auto"/>
                <w:sz w:val="24"/>
                <w:szCs w:val="24"/>
                <w:lang w:eastAsia="zh-CN" w:bidi="ar"/>
              </w:rPr>
              <w:t>建设优先级</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立体感知</w:t>
            </w:r>
            <w:r>
              <w:rPr>
                <w:rStyle w:val="20"/>
                <w:color w:val="auto"/>
                <w:lang w:eastAsia="zh-CN" w:bidi="ar"/>
              </w:rPr>
              <w:t>体系</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用水量测</w:t>
            </w:r>
            <w:r>
              <w:rPr>
                <w:rFonts w:ascii="宋体" w:hAnsi="宋体" w:eastAsia="宋体" w:cs="宋体"/>
                <w:color w:val="auto"/>
                <w:sz w:val="24"/>
                <w:szCs w:val="24"/>
                <w:lang w:eastAsia="zh-CN" w:bidi="ar"/>
              </w:rPr>
              <w:t>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2</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雨情监测系统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3</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工情</w:t>
            </w:r>
            <w:r>
              <w:rPr>
                <w:rFonts w:ascii="宋体" w:hAnsi="宋体" w:eastAsia="宋体" w:cs="宋体"/>
                <w:color w:val="auto"/>
                <w:sz w:val="24"/>
                <w:szCs w:val="24"/>
                <w:lang w:eastAsia="zh-CN" w:bidi="ar"/>
              </w:rPr>
              <w:t>监测系统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pacing w:val="-17"/>
                <w:sz w:val="24"/>
                <w:szCs w:val="24"/>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4</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墒情</w:t>
            </w:r>
            <w:r>
              <w:rPr>
                <w:rFonts w:ascii="宋体" w:hAnsi="宋体" w:eastAsia="宋体" w:cs="宋体"/>
                <w:color w:val="auto"/>
                <w:sz w:val="24"/>
                <w:szCs w:val="24"/>
                <w:lang w:eastAsia="zh-CN" w:bidi="ar"/>
              </w:rPr>
              <w:t>监测系统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5</w:t>
            </w:r>
          </w:p>
        </w:tc>
        <w:tc>
          <w:tcPr>
            <w:tcW w:w="2010" w:type="dxa"/>
            <w:vMerge w:val="continue"/>
            <w:tcBorders>
              <w:left w:val="single" w:color="000000" w:sz="4" w:space="0"/>
              <w:bottom w:val="single" w:color="000000" w:sz="4" w:space="0"/>
              <w:right w:val="single" w:color="000000" w:sz="4" w:space="0"/>
            </w:tcBorders>
            <w:shd w:val="clear" w:color="auto" w:fill="auto"/>
            <w:vAlign w:val="center"/>
          </w:tcPr>
          <w:p>
            <w:pPr>
              <w:kinsoku/>
              <w:overflowPunct w:val="0"/>
              <w:jc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bidi="ar"/>
              </w:rPr>
              <w:t>水事影像</w:t>
            </w:r>
            <w:r>
              <w:rPr>
                <w:rFonts w:ascii="宋体" w:hAnsi="宋体" w:eastAsia="宋体" w:cs="宋体"/>
                <w:color w:val="auto"/>
                <w:sz w:val="24"/>
                <w:szCs w:val="24"/>
                <w:lang w:eastAsia="zh-CN" w:bidi="ar"/>
              </w:rPr>
              <w:t>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6</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自动控制</w:t>
            </w:r>
            <w:r>
              <w:rPr>
                <w:rStyle w:val="20"/>
                <w:color w:val="auto"/>
                <w:lang w:eastAsia="zh-CN" w:bidi="ar"/>
              </w:rPr>
              <w:t>体系</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闸门控制系统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7</w:t>
            </w:r>
          </w:p>
        </w:tc>
        <w:tc>
          <w:tcPr>
            <w:tcW w:w="2010" w:type="dxa"/>
            <w:vMerge w:val="continue"/>
            <w:tcBorders>
              <w:left w:val="single" w:color="000000" w:sz="4" w:space="0"/>
              <w:right w:val="single" w:color="000000" w:sz="4" w:space="0"/>
            </w:tcBorders>
            <w:shd w:val="clear" w:color="auto" w:fill="auto"/>
            <w:noWrap/>
            <w:vAlign w:val="center"/>
          </w:tcPr>
          <w:p>
            <w:pPr>
              <w:kinsoku/>
              <w:overflowPunct w:val="0"/>
              <w:jc w:val="center"/>
              <w:rPr>
                <w:rFonts w:hint="eastAsia" w:ascii="宋体" w:hAnsi="宋体" w:eastAsia="宋体" w:cs="宋体"/>
                <w:color w:val="auto"/>
                <w:sz w:val="22"/>
                <w:szCs w:val="22"/>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泵站控制系统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8</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支撑保障</w:t>
            </w:r>
            <w:r>
              <w:rPr>
                <w:rStyle w:val="20"/>
                <w:color w:val="auto"/>
                <w:lang w:eastAsia="zh-CN" w:bidi="ar"/>
              </w:rPr>
              <w:t>体系</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z w:val="24"/>
                <w:szCs w:val="24"/>
                <w:lang w:eastAsia="zh-CN" w:bidi="ar"/>
              </w:rPr>
              <w:t>管理中心/分中心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9</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z w:val="24"/>
                <w:szCs w:val="24"/>
                <w:lang w:eastAsia="zh-CN" w:bidi="ar"/>
              </w:rPr>
              <w:t>数据中心</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pacing w:val="-18"/>
                <w:sz w:val="24"/>
                <w:szCs w:val="24"/>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10</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通信网络系统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11</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网络安全系统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12</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数据共享平台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13</w:t>
            </w:r>
          </w:p>
        </w:tc>
        <w:tc>
          <w:tcPr>
            <w:tcW w:w="2010" w:type="dxa"/>
            <w:vMerge w:val="restart"/>
            <w:tcBorders>
              <w:top w:val="single" w:color="000000" w:sz="4" w:space="0"/>
              <w:left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智慧</w:t>
            </w:r>
            <w:r>
              <w:rPr>
                <w:rFonts w:ascii="宋体" w:hAnsi="宋体" w:eastAsia="宋体" w:cs="宋体"/>
                <w:color w:val="auto"/>
                <w:sz w:val="24"/>
                <w:szCs w:val="24"/>
                <w:lang w:eastAsia="zh-CN" w:bidi="ar"/>
              </w:rPr>
              <w:t>应用</w:t>
            </w:r>
            <w:r>
              <w:rPr>
                <w:rStyle w:val="20"/>
                <w:color w:val="auto"/>
                <w:lang w:eastAsia="zh-CN" w:bidi="ar"/>
              </w:rPr>
              <w:t>体系</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灌区</w:t>
            </w:r>
            <w:r>
              <w:rPr>
                <w:rFonts w:ascii="宋体" w:hAnsi="宋体" w:eastAsia="宋体" w:cs="宋体"/>
                <w:color w:val="auto"/>
                <w:sz w:val="24"/>
                <w:szCs w:val="24"/>
                <w:lang w:eastAsia="zh-CN" w:bidi="ar"/>
              </w:rPr>
              <w:t>一张图</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14</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eastAsia="宋体"/>
                <w:color w:val="auto"/>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监测预警</w:t>
            </w:r>
            <w:r>
              <w:rPr>
                <w:rFonts w:ascii="宋体" w:hAnsi="宋体" w:eastAsia="宋体" w:cs="宋体"/>
                <w:color w:val="auto"/>
                <w:sz w:val="24"/>
                <w:szCs w:val="24"/>
                <w:lang w:eastAsia="zh-CN" w:bidi="ar"/>
              </w:rPr>
              <w:t>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15</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rPr>
                <w:rFonts w:eastAsia="宋体"/>
                <w:color w:val="auto"/>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供用水管理</w:t>
            </w:r>
            <w:r>
              <w:rPr>
                <w:rFonts w:ascii="宋体" w:hAnsi="宋体" w:eastAsia="宋体" w:cs="宋体"/>
                <w:color w:val="auto"/>
                <w:sz w:val="24"/>
                <w:szCs w:val="24"/>
                <w:lang w:eastAsia="zh-CN" w:bidi="ar"/>
              </w:rPr>
              <w:t>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16</w:t>
            </w:r>
          </w:p>
        </w:tc>
        <w:tc>
          <w:tcPr>
            <w:tcW w:w="2010" w:type="dxa"/>
            <w:vMerge w:val="continue"/>
            <w:tcBorders>
              <w:left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工程管理</w:t>
            </w:r>
            <w:r>
              <w:rPr>
                <w:rFonts w:ascii="宋体" w:hAnsi="宋体" w:eastAsia="宋体" w:cs="宋体"/>
                <w:color w:val="auto"/>
                <w:sz w:val="24"/>
                <w:szCs w:val="24"/>
                <w:lang w:eastAsia="zh-CN" w:bidi="ar"/>
              </w:rPr>
              <w:t>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17</w:t>
            </w:r>
          </w:p>
        </w:tc>
        <w:tc>
          <w:tcPr>
            <w:tcW w:w="2010" w:type="dxa"/>
            <w:vMerge w:val="continue"/>
            <w:tcBorders>
              <w:left w:val="single" w:color="000000" w:sz="4" w:space="0"/>
              <w:right w:val="single" w:color="000000" w:sz="4" w:space="0"/>
            </w:tcBorders>
            <w:shd w:val="clear" w:color="auto" w:fill="auto"/>
            <w:noWrap/>
            <w:vAlign w:val="center"/>
          </w:tcPr>
          <w:p>
            <w:pPr>
              <w:kinsoku/>
              <w:overflowPunct w:val="0"/>
              <w:jc w:val="center"/>
              <w:rPr>
                <w:rFonts w:hint="eastAsia" w:ascii="宋体" w:hAnsi="宋体" w:eastAsia="宋体" w:cs="宋体"/>
                <w:color w:val="auto"/>
                <w:sz w:val="22"/>
                <w:szCs w:val="22"/>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防汛管理</w:t>
            </w:r>
            <w:r>
              <w:rPr>
                <w:rFonts w:ascii="宋体" w:hAnsi="宋体" w:eastAsia="宋体" w:cs="宋体"/>
                <w:color w:val="auto"/>
                <w:sz w:val="24"/>
                <w:szCs w:val="24"/>
                <w:lang w:eastAsia="zh-CN" w:bidi="ar"/>
              </w:rPr>
              <w:t>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18</w:t>
            </w:r>
          </w:p>
        </w:tc>
        <w:tc>
          <w:tcPr>
            <w:tcW w:w="2010" w:type="dxa"/>
            <w:vMerge w:val="continue"/>
            <w:tcBorders>
              <w:left w:val="single" w:color="000000" w:sz="4" w:space="0"/>
              <w:right w:val="single" w:color="000000" w:sz="4" w:space="0"/>
            </w:tcBorders>
            <w:shd w:val="clear" w:color="auto" w:fill="auto"/>
            <w:noWrap/>
            <w:vAlign w:val="center"/>
          </w:tcPr>
          <w:p>
            <w:pPr>
              <w:kinsoku/>
              <w:overflowPunct w:val="0"/>
              <w:jc w:val="center"/>
              <w:rPr>
                <w:rFonts w:hint="eastAsia" w:ascii="宋体" w:hAnsi="宋体" w:eastAsia="宋体" w:cs="宋体"/>
                <w:color w:val="auto"/>
                <w:sz w:val="22"/>
                <w:szCs w:val="22"/>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综合信息管理</w:t>
            </w:r>
            <w:r>
              <w:rPr>
                <w:rFonts w:ascii="宋体" w:hAnsi="宋体" w:eastAsia="宋体" w:cs="宋体"/>
                <w:color w:val="auto"/>
                <w:sz w:val="24"/>
                <w:szCs w:val="24"/>
                <w:lang w:eastAsia="zh-CN" w:bidi="ar"/>
              </w:rPr>
              <w:t>系统</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19</w:t>
            </w:r>
          </w:p>
        </w:tc>
        <w:tc>
          <w:tcPr>
            <w:tcW w:w="2010" w:type="dxa"/>
            <w:vMerge w:val="continue"/>
            <w:tcBorders>
              <w:left w:val="single" w:color="000000" w:sz="4" w:space="0"/>
              <w:bottom w:val="single" w:color="auto" w:sz="4" w:space="0"/>
              <w:right w:val="single" w:color="000000" w:sz="4" w:space="0"/>
            </w:tcBorders>
            <w:shd w:val="clear" w:color="auto" w:fill="auto"/>
            <w:noWrap/>
            <w:vAlign w:val="center"/>
          </w:tcPr>
          <w:p>
            <w:pPr>
              <w:kinsoku/>
              <w:overflowPunct w:val="0"/>
              <w:jc w:val="center"/>
              <w:rPr>
                <w:rFonts w:hint="eastAsia" w:ascii="宋体" w:hAnsi="宋体" w:eastAsia="宋体" w:cs="宋体"/>
                <w:color w:val="auto"/>
                <w:sz w:val="22"/>
                <w:szCs w:val="22"/>
              </w:rPr>
            </w:pPr>
          </w:p>
        </w:tc>
        <w:tc>
          <w:tcPr>
            <w:tcW w:w="2595" w:type="dxa"/>
            <w:tcBorders>
              <w:top w:val="single" w:color="000000" w:sz="4" w:space="0"/>
              <w:left w:val="single" w:color="000000" w:sz="4" w:space="0"/>
              <w:bottom w:val="single" w:color="auto"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bidi="ar"/>
              </w:rPr>
              <w:t>系统管理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20</w:t>
            </w:r>
          </w:p>
        </w:tc>
        <w:tc>
          <w:tcPr>
            <w:tcW w:w="20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insoku/>
              <w:overflowPunct w:val="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共享交换体系</w:t>
            </w:r>
          </w:p>
        </w:tc>
        <w:tc>
          <w:tcPr>
            <w:tcW w:w="2595" w:type="dxa"/>
            <w:tcBorders>
              <w:top w:val="single" w:color="auto" w:sz="4" w:space="0"/>
              <w:left w:val="single" w:color="auto" w:sz="4" w:space="0"/>
              <w:bottom w:val="single" w:color="auto" w:sz="4" w:space="0"/>
              <w:right w:val="single" w:color="auto"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基础数据</w:t>
            </w:r>
          </w:p>
        </w:tc>
        <w:tc>
          <w:tcPr>
            <w:tcW w:w="1545" w:type="dxa"/>
            <w:tcBorders>
              <w:top w:val="single" w:color="000000" w:sz="4" w:space="0"/>
              <w:left w:val="single" w:color="auto"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21</w:t>
            </w:r>
          </w:p>
        </w:tc>
        <w:tc>
          <w:tcPr>
            <w:tcW w:w="2010" w:type="dxa"/>
            <w:vMerge w:val="continue"/>
            <w:tcBorders>
              <w:top w:val="single" w:color="auto" w:sz="4" w:space="0"/>
              <w:left w:val="single" w:color="000000" w:sz="4" w:space="0"/>
              <w:right w:val="single" w:color="000000" w:sz="4" w:space="0"/>
            </w:tcBorders>
            <w:shd w:val="clear" w:color="auto" w:fill="auto"/>
            <w:noWrap/>
            <w:vAlign w:val="center"/>
          </w:tcPr>
          <w:p>
            <w:pPr>
              <w:kinsoku/>
              <w:overflowPunct w:val="0"/>
              <w:jc w:val="center"/>
              <w:rPr>
                <w:rFonts w:hint="eastAsia" w:ascii="宋体" w:hAnsi="宋体" w:eastAsia="宋体" w:cs="宋体"/>
                <w:color w:val="auto"/>
                <w:sz w:val="22"/>
                <w:szCs w:val="22"/>
              </w:rPr>
            </w:pPr>
          </w:p>
        </w:tc>
        <w:tc>
          <w:tcPr>
            <w:tcW w:w="2595" w:type="dxa"/>
            <w:tcBorders>
              <w:top w:val="single" w:color="auto"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空间数据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z w:val="24"/>
                <w:szCs w:val="24"/>
                <w:lang w:eastAsia="zh-CN" w:bidi="ar"/>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22</w:t>
            </w:r>
          </w:p>
        </w:tc>
        <w:tc>
          <w:tcPr>
            <w:tcW w:w="2010" w:type="dxa"/>
            <w:vMerge w:val="continue"/>
            <w:tcBorders>
              <w:left w:val="single" w:color="000000" w:sz="4" w:space="0"/>
              <w:right w:val="single" w:color="000000" w:sz="4" w:space="0"/>
            </w:tcBorders>
            <w:shd w:val="clear" w:color="auto" w:fill="auto"/>
            <w:noWrap/>
            <w:vAlign w:val="center"/>
          </w:tcPr>
          <w:p>
            <w:pPr>
              <w:kinsoku/>
              <w:overflowPunct w:val="0"/>
              <w:jc w:val="center"/>
              <w:rPr>
                <w:rFonts w:hint="eastAsia" w:ascii="宋体" w:hAnsi="宋体" w:eastAsia="宋体" w:cs="宋体"/>
                <w:color w:val="auto"/>
                <w:sz w:val="22"/>
                <w:szCs w:val="22"/>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监测数据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pacing w:val="-17"/>
                <w:sz w:val="24"/>
                <w:szCs w:val="24"/>
              </w:rPr>
              <w:t>△</w:t>
            </w:r>
          </w:p>
        </w:tc>
      </w:tr>
      <w:tr>
        <w:tblPrEx>
          <w:tblCellMar>
            <w:top w:w="0" w:type="dxa"/>
            <w:left w:w="108" w:type="dxa"/>
            <w:bottom w:w="0" w:type="dxa"/>
            <w:right w:w="108" w:type="dxa"/>
          </w:tblCellMar>
        </w:tblPrEx>
        <w:trPr>
          <w:trHeight w:val="39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23</w:t>
            </w:r>
          </w:p>
        </w:tc>
        <w:tc>
          <w:tcPr>
            <w:tcW w:w="2010" w:type="dxa"/>
            <w:vMerge w:val="continue"/>
            <w:tcBorders>
              <w:left w:val="single" w:color="000000" w:sz="4" w:space="0"/>
              <w:bottom w:val="single" w:color="000000" w:sz="4" w:space="0"/>
              <w:right w:val="single" w:color="000000" w:sz="4" w:space="0"/>
            </w:tcBorders>
            <w:shd w:val="clear" w:color="auto" w:fill="auto"/>
            <w:noWrap/>
            <w:vAlign w:val="center"/>
          </w:tcPr>
          <w:p>
            <w:pPr>
              <w:kinsoku/>
              <w:overflowPunct w:val="0"/>
              <w:jc w:val="center"/>
              <w:rPr>
                <w:rFonts w:hint="eastAsia" w:ascii="宋体" w:hAnsi="宋体" w:eastAsia="宋体" w:cs="宋体"/>
                <w:color w:val="auto"/>
                <w:sz w:val="22"/>
                <w:szCs w:val="22"/>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业务数据</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insoku/>
              <w:overflowPunct w:val="0"/>
              <w:jc w:val="center"/>
              <w:textAlignment w:val="center"/>
              <w:rPr>
                <w:rFonts w:hint="eastAsia" w:ascii="宋体" w:hAnsi="宋体" w:eastAsia="宋体" w:cs="宋体"/>
                <w:color w:val="auto"/>
                <w:sz w:val="24"/>
                <w:szCs w:val="24"/>
                <w:lang w:eastAsia="zh-CN" w:bidi="ar"/>
              </w:rPr>
            </w:pPr>
            <w:r>
              <w:rPr>
                <w:rFonts w:ascii="宋体" w:hAnsi="宋体" w:eastAsia="宋体" w:cs="宋体"/>
                <w:color w:val="auto"/>
                <w:sz w:val="24"/>
                <w:szCs w:val="24"/>
                <w:lang w:eastAsia="zh-CN" w:bidi="ar"/>
              </w:rPr>
              <w:t>▲</w:t>
            </w:r>
          </w:p>
        </w:tc>
      </w:tr>
    </w:tbl>
    <w:p>
      <w:pPr>
        <w:kinsoku/>
        <w:overflowPunct w:val="0"/>
        <w:spacing w:line="579" w:lineRule="exact"/>
        <w:ind w:left="1765"/>
        <w:rPr>
          <w:rFonts w:hint="eastAsia" w:ascii="宋体" w:hAnsi="宋体" w:eastAsia="宋体" w:cs="宋体"/>
          <w:b/>
          <w:bCs/>
          <w:color w:val="auto"/>
          <w:spacing w:val="-5"/>
          <w:sz w:val="24"/>
          <w:szCs w:val="24"/>
          <w:lang w:eastAsia="zh-CN"/>
        </w:rPr>
      </w:pPr>
    </w:p>
    <w:p>
      <w:pPr>
        <w:kinsoku/>
        <w:overflowPunct w:val="0"/>
        <w:spacing w:line="579" w:lineRule="exact"/>
        <w:rPr>
          <w:color w:val="auto"/>
          <w:sz w:val="2"/>
          <w:szCs w:val="2"/>
        </w:rPr>
        <w:sectPr>
          <w:footerReference r:id="rId12" w:type="default"/>
          <w:pgSz w:w="11907" w:h="16839"/>
          <w:pgMar w:top="1428" w:right="1785" w:bottom="1664" w:left="1785" w:header="0" w:footer="1458" w:gutter="0"/>
          <w:pgNumType w:fmt="numberInDash"/>
          <w:cols w:equalWidth="0" w:num="1">
            <w:col w:w="8335"/>
          </w:cols>
        </w:sectPr>
      </w:pPr>
    </w:p>
    <w:p>
      <w:pPr>
        <w:kinsoku/>
        <w:overflowPunct w:val="0"/>
        <w:spacing w:line="579" w:lineRule="exact"/>
        <w:ind w:left="580" w:right="564"/>
        <w:jc w:val="both"/>
        <w:rPr>
          <w:rFonts w:hint="eastAsia" w:ascii="宋体" w:hAnsi="宋体" w:eastAsia="宋体" w:cs="宋体"/>
          <w:color w:val="auto"/>
          <w:sz w:val="24"/>
          <w:szCs w:val="24"/>
        </w:rPr>
      </w:pPr>
      <w:r>
        <w:rPr>
          <w:rFonts w:ascii="宋体" w:hAnsi="宋体" w:eastAsia="宋体" w:cs="宋体"/>
          <w:color w:val="auto"/>
          <w:spacing w:val="-18"/>
          <w:sz w:val="24"/>
          <w:szCs w:val="24"/>
        </w:rPr>
        <w:t>▲</w:t>
      </w:r>
      <w:r>
        <w:rPr>
          <w:rFonts w:ascii="宋体" w:hAnsi="宋体" w:eastAsia="宋体" w:cs="宋体"/>
          <w:color w:val="auto"/>
          <w:spacing w:val="-17"/>
          <w:sz w:val="24"/>
          <w:szCs w:val="24"/>
        </w:rPr>
        <w:t>△□</w:t>
      </w:r>
    </w:p>
    <w:p>
      <w:pPr>
        <w:pStyle w:val="5"/>
        <w:kinsoku/>
        <w:overflowPunct w:val="0"/>
        <w:spacing w:line="579" w:lineRule="exact"/>
        <w:rPr>
          <w:color w:val="auto"/>
          <w:sz w:val="2"/>
        </w:rPr>
      </w:pPr>
      <w:r>
        <w:rPr>
          <w:color w:val="auto"/>
          <w:sz w:val="2"/>
          <w:szCs w:val="2"/>
        </w:rPr>
        <w:br w:type="column"/>
      </w:r>
      <w:r>
        <w:rPr>
          <w:rFonts w:ascii="宋体" w:hAnsi="宋体" w:eastAsia="宋体" w:cs="宋体"/>
          <w:color w:val="auto"/>
          <w:spacing w:val="-4"/>
          <w:sz w:val="24"/>
          <w:szCs w:val="24"/>
        </w:rPr>
        <w:t>必须建设</w:t>
      </w:r>
    </w:p>
    <w:p>
      <w:pPr>
        <w:kinsoku/>
        <w:overflowPunct w:val="0"/>
        <w:spacing w:line="579" w:lineRule="exact"/>
        <w:ind w:right="5917" w:firstLine="1"/>
        <w:jc w:val="both"/>
        <w:rPr>
          <w:rFonts w:hint="eastAsia" w:ascii="宋体" w:hAnsi="宋体" w:eastAsia="宋体" w:cs="宋体"/>
          <w:color w:val="auto"/>
          <w:sz w:val="24"/>
          <w:szCs w:val="24"/>
        </w:rPr>
      </w:pPr>
      <w:r>
        <w:rPr>
          <w:rFonts w:ascii="宋体" w:hAnsi="宋体" w:eastAsia="宋体" w:cs="宋体"/>
          <w:color w:val="auto"/>
          <w:spacing w:val="-3"/>
          <w:sz w:val="24"/>
          <w:szCs w:val="24"/>
        </w:rPr>
        <w:t>按需建设可选建设</w:t>
      </w:r>
    </w:p>
    <w:p>
      <w:pPr>
        <w:kinsoku/>
        <w:overflowPunct w:val="0"/>
        <w:spacing w:line="579" w:lineRule="exact"/>
        <w:rPr>
          <w:rFonts w:hint="eastAsia" w:ascii="宋体" w:hAnsi="宋体" w:eastAsia="宋体" w:cs="宋体"/>
          <w:color w:val="auto"/>
          <w:sz w:val="24"/>
          <w:szCs w:val="24"/>
        </w:rPr>
        <w:sectPr>
          <w:type w:val="continuous"/>
          <w:pgSz w:w="11907" w:h="16839"/>
          <w:pgMar w:top="1428" w:right="1785" w:bottom="1664" w:left="1785" w:header="0" w:footer="1458" w:gutter="0"/>
          <w:pgNumType w:fmt="numberInDash"/>
          <w:cols w:equalWidth="0" w:num="2">
            <w:col w:w="1369" w:space="100"/>
            <w:col w:w="6867"/>
          </w:cols>
        </w:sectPr>
      </w:pPr>
    </w:p>
    <w:p>
      <w:pPr>
        <w:keepNext w:val="0"/>
        <w:keepLines w:val="0"/>
        <w:pageBreakBefore w:val="0"/>
        <w:widowControl/>
        <w:kinsoku w:val="0"/>
        <w:wordWrap/>
        <w:overflowPunct/>
        <w:topLinePunct w:val="0"/>
        <w:autoSpaceDE w:val="0"/>
        <w:autoSpaceDN w:val="0"/>
        <w:bidi w:val="0"/>
        <w:adjustRightInd w:val="0"/>
        <w:snapToGrid w:val="0"/>
        <w:spacing w:before="60" w:line="240" w:lineRule="auto"/>
        <w:ind w:left="51"/>
        <w:textAlignment w:val="baseline"/>
        <w:outlineLvl w:val="0"/>
        <w:rPr>
          <w:rFonts w:hint="eastAsia" w:ascii="黑体" w:hAnsi="黑体" w:eastAsia="黑体" w:cs="黑体"/>
          <w:b w:val="0"/>
          <w:bCs w:val="0"/>
          <w:color w:val="auto"/>
          <w:spacing w:val="-8"/>
          <w:sz w:val="32"/>
          <w:szCs w:val="32"/>
          <w:lang w:eastAsia="zh-CN"/>
        </w:rPr>
      </w:pPr>
      <w:bookmarkStart w:id="384" w:name="_Toc52628905"/>
      <w:bookmarkStart w:id="385" w:name="_Toc853239238"/>
      <w:bookmarkStart w:id="386" w:name="_Toc182896128"/>
      <w:bookmarkStart w:id="387" w:name="_Toc1442566275"/>
      <w:bookmarkStart w:id="388" w:name="_Toc337923697"/>
      <w:bookmarkStart w:id="389" w:name="_Toc1977082636"/>
      <w:bookmarkStart w:id="390" w:name="_Toc1381820481"/>
      <w:bookmarkStart w:id="391" w:name="_Toc367664825"/>
      <w:r>
        <w:rPr>
          <w:rFonts w:hint="eastAsia" w:ascii="黑体" w:hAnsi="黑体" w:eastAsia="黑体" w:cs="黑体"/>
          <w:b w:val="0"/>
          <w:bCs w:val="0"/>
          <w:color w:val="auto"/>
          <w:spacing w:val="-8"/>
          <w:sz w:val="32"/>
          <w:szCs w:val="32"/>
          <w:lang w:eastAsia="zh-CN"/>
        </w:rPr>
        <w:t>附件</w:t>
      </w:r>
      <w:r>
        <w:rPr>
          <w:rFonts w:hint="eastAsia" w:ascii="黑体" w:hAnsi="黑体" w:eastAsia="黑体" w:cs="黑体"/>
          <w:b w:val="0"/>
          <w:bCs w:val="0"/>
          <w:color w:val="auto"/>
          <w:spacing w:val="-8"/>
          <w:sz w:val="32"/>
          <w:szCs w:val="32"/>
          <w:lang w:val="en-US" w:eastAsia="zh-CN"/>
        </w:rPr>
        <w:t>2</w:t>
      </w:r>
      <w:r>
        <w:rPr>
          <w:rFonts w:hint="eastAsia" w:ascii="黑体" w:hAnsi="黑体" w:eastAsia="黑体" w:cs="黑体"/>
          <w:b w:val="0"/>
          <w:bCs w:val="0"/>
          <w:color w:val="auto"/>
          <w:spacing w:val="-8"/>
          <w:sz w:val="32"/>
          <w:szCs w:val="32"/>
          <w:lang w:eastAsia="zh-CN"/>
        </w:rPr>
        <w:t>：中型灌区信息化建设总体框架图</w:t>
      </w:r>
      <w:bookmarkEnd w:id="384"/>
      <w:bookmarkEnd w:id="385"/>
      <w:bookmarkEnd w:id="386"/>
      <w:bookmarkEnd w:id="387"/>
      <w:bookmarkEnd w:id="388"/>
      <w:bookmarkEnd w:id="389"/>
      <w:bookmarkEnd w:id="390"/>
      <w:bookmarkEnd w:id="391"/>
    </w:p>
    <w:p>
      <w:pPr>
        <w:pStyle w:val="5"/>
        <w:spacing w:line="288" w:lineRule="auto"/>
        <w:rPr>
          <w:rFonts w:hint="eastAsia" w:ascii="宋体" w:hAnsi="宋体" w:eastAsia="宋体" w:cs="宋体"/>
          <w:b/>
          <w:bCs/>
          <w:color w:val="auto"/>
          <w:spacing w:val="-5"/>
          <w:sz w:val="24"/>
          <w:szCs w:val="24"/>
          <w:lang w:eastAsia="zh-CN"/>
        </w:rPr>
      </w:pPr>
    </w:p>
    <w:p>
      <w:pPr>
        <w:spacing w:before="192" w:line="219" w:lineRule="auto"/>
        <w:jc w:val="center"/>
        <w:rPr>
          <w:rFonts w:hint="eastAsia" w:ascii="宋体" w:hAnsi="宋体" w:eastAsia="宋体" w:cs="宋体"/>
          <w:b/>
          <w:bCs/>
          <w:color w:val="auto"/>
          <w:spacing w:val="-5"/>
          <w:sz w:val="24"/>
          <w:szCs w:val="24"/>
          <w:lang w:eastAsia="zh-CN"/>
        </w:rPr>
      </w:pPr>
      <w:r>
        <w:rPr>
          <w:rFonts w:ascii="宋体" w:hAnsi="宋体" w:eastAsia="宋体" w:cs="宋体"/>
          <w:b/>
          <w:bCs/>
          <w:color w:val="auto"/>
          <w:spacing w:val="-5"/>
          <w:sz w:val="24"/>
          <w:szCs w:val="24"/>
          <w:lang w:eastAsia="zh-CN"/>
        </w:rPr>
        <w:drawing>
          <wp:inline distT="0" distB="0" distL="114300" distR="114300">
            <wp:extent cx="5293360" cy="4829175"/>
            <wp:effectExtent l="0" t="0" r="2540" b="9525"/>
            <wp:docPr id="4" name="图片 4" descr="微信图片_2024082616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826161618"/>
                    <pic:cNvPicPr>
                      <a:picLocks noChangeAspect="1"/>
                    </pic:cNvPicPr>
                  </pic:nvPicPr>
                  <pic:blipFill>
                    <a:blip r:embed="rId16"/>
                    <a:stretch>
                      <a:fillRect/>
                    </a:stretch>
                  </pic:blipFill>
                  <pic:spPr>
                    <a:xfrm>
                      <a:off x="0" y="0"/>
                      <a:ext cx="5293360" cy="4829175"/>
                    </a:xfrm>
                    <a:prstGeom prst="rect">
                      <a:avLst/>
                    </a:prstGeom>
                  </pic:spPr>
                </pic:pic>
              </a:graphicData>
            </a:graphic>
          </wp:inline>
        </w:drawing>
      </w:r>
    </w:p>
    <w:p>
      <w:pPr>
        <w:spacing w:before="192" w:line="219" w:lineRule="auto"/>
        <w:jc w:val="center"/>
        <w:rPr>
          <w:rFonts w:hint="eastAsia" w:ascii="宋体" w:hAnsi="宋体" w:eastAsia="宋体" w:cs="宋体"/>
          <w:color w:val="auto"/>
          <w:sz w:val="24"/>
          <w:szCs w:val="24"/>
          <w:lang w:eastAsia="zh-CN"/>
        </w:rPr>
      </w:pPr>
      <w:r>
        <w:rPr>
          <w:rFonts w:ascii="宋体" w:hAnsi="宋体" w:eastAsia="宋体" w:cs="宋体"/>
          <w:b/>
          <w:bCs/>
          <w:color w:val="auto"/>
          <w:spacing w:val="-5"/>
          <w:sz w:val="24"/>
          <w:szCs w:val="24"/>
          <w:lang w:eastAsia="zh-CN"/>
        </w:rPr>
        <w:t>附图</w:t>
      </w:r>
      <w:r>
        <w:rPr>
          <w:rFonts w:hint="eastAsia" w:ascii="宋体" w:hAnsi="宋体" w:eastAsia="宋体" w:cs="宋体"/>
          <w:color w:val="auto"/>
          <w:spacing w:val="-33"/>
          <w:sz w:val="24"/>
          <w:szCs w:val="24"/>
          <w:lang w:eastAsia="zh-CN"/>
        </w:rPr>
        <w:t xml:space="preserve">   </w:t>
      </w:r>
      <w:r>
        <w:rPr>
          <w:rFonts w:hint="eastAsia" w:ascii="宋体" w:hAnsi="宋体" w:eastAsia="宋体" w:cs="宋体"/>
          <w:b/>
          <w:bCs/>
          <w:color w:val="auto"/>
          <w:spacing w:val="-5"/>
          <w:sz w:val="24"/>
          <w:szCs w:val="24"/>
          <w:lang w:eastAsia="zh-CN"/>
        </w:rPr>
        <w:t>中型灌区信息化建设总体框架图</w:t>
      </w:r>
    </w:p>
    <w:sectPr>
      <w:headerReference r:id="rId13" w:type="default"/>
      <w:footerReference r:id="rId14" w:type="default"/>
      <w:pgSz w:w="11907" w:h="16839"/>
      <w:pgMar w:top="1425" w:right="1785" w:bottom="1664" w:left="1785" w:header="0" w:footer="1458"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ind w:left="4126"/>
      <w:rPr>
        <w:rFonts w:hint="eastAsia" w:ascii="微软雅黑" w:hAnsi="微软雅黑" w:eastAsia="微软雅黑" w:cs="微软雅黑"/>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left="4122"/>
      <w:rPr>
        <w:rFonts w:hint="eastAsia" w:ascii="微软雅黑" w:hAnsi="微软雅黑" w:eastAsia="微软雅黑" w:cs="微软雅黑"/>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- 5 -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7" w:lineRule="exact"/>
      <w:rPr>
        <w:rFonts w:hint="eastAsia" w:ascii="微软雅黑" w:hAnsi="微软雅黑" w:eastAsia="微软雅黑" w:cs="微软雅黑"/>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- 7 -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left="4087"/>
      <w:rPr>
        <w:rFonts w:hint="eastAsia" w:ascii="微软雅黑" w:hAnsi="微软雅黑" w:eastAsia="微软雅黑" w:cs="微软雅黑"/>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- 16 -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left="4129"/>
      <w:rPr>
        <w:rFonts w:hint="eastAsia" w:ascii="微软雅黑" w:hAnsi="微软雅黑" w:eastAsia="微软雅黑" w:cs="微软雅黑"/>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- 6 -</w:t>
                          </w:r>
                          <w:r>
                            <w:rPr>
                              <w:rFonts w:hint="eastAsia" w:asciiTheme="majorEastAsia" w:hAnsiTheme="majorEastAsia" w:eastAsiaTheme="majorEastAsia" w:cstheme="majorEastAsia"/>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y0PJt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ctDybSsCAABVBAAADgAAAAAAAAABACAAAAA1AQAAZHJz&#10;L2Uyb0RvYy54bWxQSwUGAAAAAAYABgBZAQAA0gUAAAAA&#10;">
              <v:fill on="f" focussize="0,0"/>
              <v:stroke on="f" weight="0.5pt"/>
              <v:imagedata o:title=""/>
              <o:lock v:ext="edit" aspectratio="f"/>
              <v:textbox inset="0mm,0mm,0mm,0mm" style="mso-fit-shape-to-text:t;">
                <w:txbxContent>
                  <w:p>
                    <w:pPr>
                      <w:pStyle w:val="8"/>
                    </w:pPr>
                    <w:r>
                      <w:rPr>
                        <w:rFonts w:hint="eastAsia" w:asciiTheme="majorEastAsia" w:hAnsiTheme="majorEastAsia" w:eastAsiaTheme="majorEastAsia" w:cstheme="majorEastAsia"/>
                        <w:sz w:val="28"/>
                        <w:szCs w:val="36"/>
                      </w:rPr>
                      <w:fldChar w:fldCharType="begin"/>
                    </w:r>
                    <w:r>
                      <w:rPr>
                        <w:rFonts w:hint="eastAsia" w:asciiTheme="majorEastAsia" w:hAnsiTheme="majorEastAsia" w:eastAsiaTheme="majorEastAsia" w:cstheme="majorEastAsia"/>
                        <w:sz w:val="28"/>
                        <w:szCs w:val="36"/>
                      </w:rPr>
                      <w:instrText xml:space="preserve"> PAGE  \* MERGEFORMAT </w:instrText>
                    </w:r>
                    <w:r>
                      <w:rPr>
                        <w:rFonts w:hint="eastAsia" w:asciiTheme="majorEastAsia" w:hAnsiTheme="majorEastAsia" w:eastAsiaTheme="majorEastAsia" w:cstheme="majorEastAsia"/>
                        <w:sz w:val="28"/>
                        <w:szCs w:val="36"/>
                      </w:rPr>
                      <w:fldChar w:fldCharType="separate"/>
                    </w:r>
                    <w:r>
                      <w:rPr>
                        <w:rFonts w:hint="eastAsia" w:asciiTheme="majorEastAsia" w:hAnsiTheme="majorEastAsia" w:eastAsiaTheme="majorEastAsia" w:cstheme="majorEastAsia"/>
                        <w:sz w:val="28"/>
                        <w:szCs w:val="36"/>
                      </w:rPr>
                      <w:t>- 6 -</w:t>
                    </w:r>
                    <w:r>
                      <w:rPr>
                        <w:rFonts w:hint="eastAsia" w:asciiTheme="majorEastAsia" w:hAnsiTheme="majorEastAsia" w:eastAsiaTheme="majorEastAsia" w:cstheme="majorEastAsia"/>
                        <w:sz w:val="28"/>
                        <w:szCs w:val="36"/>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left="4087"/>
      <w:rPr>
        <w:rFonts w:hint="eastAsia" w:ascii="微软雅黑" w:hAnsi="微软雅黑" w:eastAsia="微软雅黑" w:cs="微软雅黑"/>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- 19 -</w:t>
                          </w:r>
                          <w:r>
                            <w:rPr>
                              <w:rFonts w:hint="eastAsia" w:asciiTheme="minorEastAsia" w:hAnsiTheme="minorEastAsia" w:eastAsiaTheme="minorEastAsia" w:cstheme="minorEastAsia"/>
                              <w:sz w:val="28"/>
                              <w:szCs w:val="3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eugv7LAIAAFU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J66C/ssAgAAVQQAAA4AAAAAAAAAAQAgAAAANQEAAGRy&#10;cy9lMm9Eb2MueG1sUEsFBgAAAAAGAAYAWQEAANM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- 19 -</w:t>
                    </w:r>
                    <w:r>
                      <w:rPr>
                        <w:rFonts w:hint="eastAsia" w:asciiTheme="minorEastAsia" w:hAnsiTheme="minorEastAsia" w:eastAsiaTheme="minorEastAsia" w:cstheme="minorEastAsia"/>
                        <w:sz w:val="28"/>
                        <w:szCs w:val="36"/>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8" w:line="177" w:lineRule="auto"/>
      <w:ind w:left="74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8" w:line="177" w:lineRule="aut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8" w:line="177" w:lineRule="auto"/>
      <w:ind w:left="74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864BCD"/>
    <w:multiLevelType w:val="multilevel"/>
    <w:tmpl w:val="CD864BCD"/>
    <w:lvl w:ilvl="0" w:tentative="0">
      <w:start w:val="1"/>
      <w:numFmt w:val="decimal"/>
      <w:pStyle w:val="2"/>
      <w:lvlText w:val="%1"/>
      <w:lvlJc w:val="left"/>
      <w:pPr>
        <w:tabs>
          <w:tab w:val="left" w:pos="425"/>
        </w:tabs>
        <w:ind w:left="0" w:firstLine="425"/>
      </w:pPr>
      <w:rPr>
        <w:rFonts w:hint="default" w:ascii="宋体" w:hAnsi="宋体" w:eastAsia="宋体" w:cs="宋体"/>
      </w:rPr>
    </w:lvl>
    <w:lvl w:ilvl="1" w:tentative="0">
      <w:start w:val="1"/>
      <w:numFmt w:val="decimal"/>
      <w:pStyle w:val="3"/>
      <w:lvlText w:val="%1.%2"/>
      <w:lvlJc w:val="left"/>
      <w:pPr>
        <w:tabs>
          <w:tab w:val="left" w:pos="2702"/>
        </w:tabs>
        <w:ind w:left="2126" w:firstLine="0"/>
      </w:pPr>
      <w:rPr>
        <w:rFonts w:hint="default" w:ascii="宋体" w:hAnsi="宋体" w:eastAsia="宋体" w:cs="宋体"/>
      </w:rPr>
    </w:lvl>
    <w:lvl w:ilvl="2" w:tentative="0">
      <w:start w:val="1"/>
      <w:numFmt w:val="decimal"/>
      <w:lvlText w:val="%1.%2.%3"/>
      <w:lvlJc w:val="left"/>
      <w:pPr>
        <w:tabs>
          <w:tab w:val="left" w:pos="720"/>
        </w:tabs>
        <w:ind w:left="0" w:firstLine="0"/>
      </w:pPr>
      <w:rPr>
        <w:rFonts w:hint="default" w:ascii="Times New Roman" w:hAnsi="Times New Roman" w:eastAsia="宋体" w:cs="宋体"/>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MDY0YjBkYTlmOWQyNWQ2NTE5OGNjMjlhNThiNzMyNWMifQ=="/>
  </w:docVars>
  <w:rsids>
    <w:rsidRoot w:val="00FA704E"/>
    <w:rsid w:val="00076D72"/>
    <w:rsid w:val="001E6FFA"/>
    <w:rsid w:val="001F2EAA"/>
    <w:rsid w:val="002D1C23"/>
    <w:rsid w:val="002F6847"/>
    <w:rsid w:val="00365749"/>
    <w:rsid w:val="004913E0"/>
    <w:rsid w:val="004F5864"/>
    <w:rsid w:val="0077101F"/>
    <w:rsid w:val="00781F92"/>
    <w:rsid w:val="0082083A"/>
    <w:rsid w:val="00821C82"/>
    <w:rsid w:val="00906076"/>
    <w:rsid w:val="00907C8C"/>
    <w:rsid w:val="009C257A"/>
    <w:rsid w:val="00A11EFF"/>
    <w:rsid w:val="00A321AF"/>
    <w:rsid w:val="00A3544A"/>
    <w:rsid w:val="00AB38F7"/>
    <w:rsid w:val="00B93F60"/>
    <w:rsid w:val="00BC45F4"/>
    <w:rsid w:val="00C02067"/>
    <w:rsid w:val="00E05E49"/>
    <w:rsid w:val="00F411B8"/>
    <w:rsid w:val="00FA704E"/>
    <w:rsid w:val="00FB5485"/>
    <w:rsid w:val="05693FED"/>
    <w:rsid w:val="079B3D87"/>
    <w:rsid w:val="0CF12CA2"/>
    <w:rsid w:val="0F032819"/>
    <w:rsid w:val="10A358D1"/>
    <w:rsid w:val="12BB3B36"/>
    <w:rsid w:val="18125374"/>
    <w:rsid w:val="1BB43B18"/>
    <w:rsid w:val="1BC31CAE"/>
    <w:rsid w:val="1D2F3CDE"/>
    <w:rsid w:val="1FFB1001"/>
    <w:rsid w:val="20924EBF"/>
    <w:rsid w:val="240D5D4E"/>
    <w:rsid w:val="24C2130A"/>
    <w:rsid w:val="255B2C56"/>
    <w:rsid w:val="26D07369"/>
    <w:rsid w:val="281E2746"/>
    <w:rsid w:val="29A80EDF"/>
    <w:rsid w:val="2C231E11"/>
    <w:rsid w:val="2C8D1C48"/>
    <w:rsid w:val="2CF47F19"/>
    <w:rsid w:val="2EBCDA5E"/>
    <w:rsid w:val="2F5322DA"/>
    <w:rsid w:val="2F7F5402"/>
    <w:rsid w:val="2FD3A752"/>
    <w:rsid w:val="30696F79"/>
    <w:rsid w:val="31E6B8BA"/>
    <w:rsid w:val="32FB76BD"/>
    <w:rsid w:val="3598555C"/>
    <w:rsid w:val="35B61496"/>
    <w:rsid w:val="35FF2DC6"/>
    <w:rsid w:val="3751111E"/>
    <w:rsid w:val="3755A371"/>
    <w:rsid w:val="37DBDA0C"/>
    <w:rsid w:val="38BB3DAA"/>
    <w:rsid w:val="38DF1B33"/>
    <w:rsid w:val="39F54A3D"/>
    <w:rsid w:val="3BA95AFB"/>
    <w:rsid w:val="3BB17C4F"/>
    <w:rsid w:val="3C495460"/>
    <w:rsid w:val="3C6A4A81"/>
    <w:rsid w:val="3C6F049E"/>
    <w:rsid w:val="3D3CADEA"/>
    <w:rsid w:val="3EFBC07E"/>
    <w:rsid w:val="3F48EEFE"/>
    <w:rsid w:val="3FB70356"/>
    <w:rsid w:val="3FFEBA6F"/>
    <w:rsid w:val="43EFAB45"/>
    <w:rsid w:val="445552E9"/>
    <w:rsid w:val="45757B02"/>
    <w:rsid w:val="470D1EAB"/>
    <w:rsid w:val="4756D2DA"/>
    <w:rsid w:val="47594B77"/>
    <w:rsid w:val="47C63E08"/>
    <w:rsid w:val="4AF47F09"/>
    <w:rsid w:val="4B8A54FE"/>
    <w:rsid w:val="4BB77A72"/>
    <w:rsid w:val="4D4D6C18"/>
    <w:rsid w:val="4D5E2AFB"/>
    <w:rsid w:val="4DF810AB"/>
    <w:rsid w:val="4F0C23E2"/>
    <w:rsid w:val="4FBB9F2C"/>
    <w:rsid w:val="4FFE215C"/>
    <w:rsid w:val="523039ED"/>
    <w:rsid w:val="52ED3545"/>
    <w:rsid w:val="557F4F1C"/>
    <w:rsid w:val="57BDA171"/>
    <w:rsid w:val="586920AE"/>
    <w:rsid w:val="58B55530"/>
    <w:rsid w:val="59FF9D65"/>
    <w:rsid w:val="5CB859C3"/>
    <w:rsid w:val="5E77F565"/>
    <w:rsid w:val="5EBF8592"/>
    <w:rsid w:val="5F3794D2"/>
    <w:rsid w:val="5FBD0481"/>
    <w:rsid w:val="5FFFAEFC"/>
    <w:rsid w:val="61A82AA5"/>
    <w:rsid w:val="631E2625"/>
    <w:rsid w:val="645B63D4"/>
    <w:rsid w:val="67765D1F"/>
    <w:rsid w:val="67BD7E26"/>
    <w:rsid w:val="67EF12FF"/>
    <w:rsid w:val="67FC11E2"/>
    <w:rsid w:val="67FF8761"/>
    <w:rsid w:val="695876B9"/>
    <w:rsid w:val="6959C4F4"/>
    <w:rsid w:val="69935DE8"/>
    <w:rsid w:val="6BDD591A"/>
    <w:rsid w:val="6C67137D"/>
    <w:rsid w:val="6D5F4A02"/>
    <w:rsid w:val="6DE57154"/>
    <w:rsid w:val="6E47FB02"/>
    <w:rsid w:val="6F4F794A"/>
    <w:rsid w:val="6FE5304B"/>
    <w:rsid w:val="6FF71B48"/>
    <w:rsid w:val="6FF75DEF"/>
    <w:rsid w:val="6FF9BCCD"/>
    <w:rsid w:val="6FFCF000"/>
    <w:rsid w:val="733F2B3D"/>
    <w:rsid w:val="73EFC690"/>
    <w:rsid w:val="75B9DF42"/>
    <w:rsid w:val="75FF648C"/>
    <w:rsid w:val="76E539FB"/>
    <w:rsid w:val="76F3E514"/>
    <w:rsid w:val="773AD0F5"/>
    <w:rsid w:val="77CFF592"/>
    <w:rsid w:val="79FF06B4"/>
    <w:rsid w:val="7A637111"/>
    <w:rsid w:val="7B560C6D"/>
    <w:rsid w:val="7BBFF9F5"/>
    <w:rsid w:val="7BEB1CFA"/>
    <w:rsid w:val="7BEC4122"/>
    <w:rsid w:val="7C69A627"/>
    <w:rsid w:val="7D6E9D01"/>
    <w:rsid w:val="7D7D41BF"/>
    <w:rsid w:val="7E4F99CB"/>
    <w:rsid w:val="7E6700E6"/>
    <w:rsid w:val="7EBFD424"/>
    <w:rsid w:val="7EDBD335"/>
    <w:rsid w:val="7F286B7B"/>
    <w:rsid w:val="7F3EFC12"/>
    <w:rsid w:val="7F4E92CF"/>
    <w:rsid w:val="7F578187"/>
    <w:rsid w:val="7F6E30F3"/>
    <w:rsid w:val="7F976A26"/>
    <w:rsid w:val="7FB930E3"/>
    <w:rsid w:val="7FDB57B7"/>
    <w:rsid w:val="7FE6DD94"/>
    <w:rsid w:val="7FED915A"/>
    <w:rsid w:val="7FFE1EC8"/>
    <w:rsid w:val="7FFF5C2C"/>
    <w:rsid w:val="92CDA89C"/>
    <w:rsid w:val="95AB7B94"/>
    <w:rsid w:val="96FF5D29"/>
    <w:rsid w:val="9D17ACDA"/>
    <w:rsid w:val="9EED2553"/>
    <w:rsid w:val="AE0BE353"/>
    <w:rsid w:val="AFBE2027"/>
    <w:rsid w:val="B5BBE34D"/>
    <w:rsid w:val="B73F64C2"/>
    <w:rsid w:val="BBFA6E7B"/>
    <w:rsid w:val="BE3F79D5"/>
    <w:rsid w:val="BED52911"/>
    <w:rsid w:val="BF5EDD94"/>
    <w:rsid w:val="BF7D1FB2"/>
    <w:rsid w:val="BFEEF739"/>
    <w:rsid w:val="BFF5C71C"/>
    <w:rsid w:val="C6ADAB7B"/>
    <w:rsid w:val="C6B765E1"/>
    <w:rsid w:val="C72D45E5"/>
    <w:rsid w:val="D3D7B713"/>
    <w:rsid w:val="D6EFACC2"/>
    <w:rsid w:val="D7BB03D5"/>
    <w:rsid w:val="D7F3EA66"/>
    <w:rsid w:val="D9FEDF62"/>
    <w:rsid w:val="DA3FA10E"/>
    <w:rsid w:val="DBFC5CA4"/>
    <w:rsid w:val="DFDCF2EF"/>
    <w:rsid w:val="DFEFC87D"/>
    <w:rsid w:val="DFF4945E"/>
    <w:rsid w:val="DFFA7C8E"/>
    <w:rsid w:val="E3DB41DD"/>
    <w:rsid w:val="E4FE854B"/>
    <w:rsid w:val="E5DF160B"/>
    <w:rsid w:val="E7354D4E"/>
    <w:rsid w:val="ECBFE836"/>
    <w:rsid w:val="ED67D730"/>
    <w:rsid w:val="EDAF99F6"/>
    <w:rsid w:val="EDB54332"/>
    <w:rsid w:val="EEE37FD4"/>
    <w:rsid w:val="EEFE58AA"/>
    <w:rsid w:val="EFDF5EC7"/>
    <w:rsid w:val="EFFF93FA"/>
    <w:rsid w:val="F3FBD07F"/>
    <w:rsid w:val="F3FEC7BF"/>
    <w:rsid w:val="F4FE95F5"/>
    <w:rsid w:val="F5AD8246"/>
    <w:rsid w:val="F7773CB9"/>
    <w:rsid w:val="F7B75DFE"/>
    <w:rsid w:val="F7CA2235"/>
    <w:rsid w:val="F7CF45A4"/>
    <w:rsid w:val="F7F6A4C9"/>
    <w:rsid w:val="F7FA0F6A"/>
    <w:rsid w:val="F8FF7498"/>
    <w:rsid w:val="FB7D480A"/>
    <w:rsid w:val="FD6BF1BB"/>
    <w:rsid w:val="FDEEE2D9"/>
    <w:rsid w:val="FDF7E283"/>
    <w:rsid w:val="FE8E5A3A"/>
    <w:rsid w:val="FEDDD50D"/>
    <w:rsid w:val="FEDF3A69"/>
    <w:rsid w:val="FEFA11BA"/>
    <w:rsid w:val="FEFBD5B8"/>
    <w:rsid w:val="FF1F17AF"/>
    <w:rsid w:val="FF560640"/>
    <w:rsid w:val="FF79CF49"/>
    <w:rsid w:val="FFBC9AD9"/>
    <w:rsid w:val="FFBF1C55"/>
    <w:rsid w:val="FFD570D7"/>
    <w:rsid w:val="FFDBFAE2"/>
    <w:rsid w:val="FFDE0821"/>
    <w:rsid w:val="FFDEBC46"/>
    <w:rsid w:val="FFEB6796"/>
    <w:rsid w:val="FFEFEAD3"/>
    <w:rsid w:val="FFF3F91A"/>
    <w:rsid w:val="FFF6D55B"/>
    <w:rsid w:val="FFF75459"/>
    <w:rsid w:val="FFFB1E2F"/>
    <w:rsid w:val="FFFB8593"/>
    <w:rsid w:val="FFFD0D5D"/>
    <w:rsid w:val="FFFF0B94"/>
    <w:rsid w:val="FFFF9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numPr>
        <w:ilvl w:val="0"/>
        <w:numId w:val="1"/>
      </w:numPr>
      <w:spacing w:before="340" w:after="330" w:line="480" w:lineRule="auto"/>
      <w:jc w:val="center"/>
      <w:outlineLvl w:val="0"/>
    </w:pPr>
    <w:rPr>
      <w:b/>
      <w:bCs/>
      <w:kern w:val="44"/>
      <w:sz w:val="32"/>
      <w:szCs w:val="44"/>
    </w:rPr>
  </w:style>
  <w:style w:type="paragraph" w:styleId="3">
    <w:name w:val="heading 2"/>
    <w:basedOn w:val="1"/>
    <w:next w:val="1"/>
    <w:qFormat/>
    <w:uiPriority w:val="0"/>
    <w:pPr>
      <w:keepNext/>
      <w:keepLines/>
      <w:numPr>
        <w:ilvl w:val="1"/>
        <w:numId w:val="1"/>
      </w:numPr>
      <w:spacing w:before="260" w:after="260" w:line="416" w:lineRule="auto"/>
      <w:ind w:left="0"/>
      <w:jc w:val="center"/>
      <w:outlineLvl w:val="1"/>
    </w:pPr>
    <w:rPr>
      <w:rFonts w:eastAsia="黑体"/>
      <w:bCs/>
      <w:sz w:val="28"/>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semiHidden/>
    <w:qFormat/>
    <w:uiPriority w:val="0"/>
  </w:style>
  <w:style w:type="paragraph" w:styleId="6">
    <w:name w:val="Body Text Indent"/>
    <w:basedOn w:val="1"/>
    <w:qFormat/>
    <w:uiPriority w:val="0"/>
    <w:pPr>
      <w:spacing w:line="360" w:lineRule="atLeast"/>
      <w:ind w:left="1680" w:firstLine="420"/>
    </w:pPr>
  </w:style>
  <w:style w:type="paragraph" w:styleId="7">
    <w:name w:val="Date"/>
    <w:basedOn w:val="1"/>
    <w:next w:val="1"/>
    <w:link w:val="27"/>
    <w:qFormat/>
    <w:uiPriority w:val="0"/>
    <w:pPr>
      <w:ind w:left="100" w:leftChars="2500"/>
    </w:pPr>
  </w:style>
  <w:style w:type="paragraph" w:styleId="8">
    <w:name w:val="footer"/>
    <w:basedOn w:val="1"/>
    <w:link w:val="25"/>
    <w:qFormat/>
    <w:uiPriority w:val="99"/>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Autospacing="1" w:afterAutospacing="1"/>
    </w:pPr>
    <w:rPr>
      <w:rFonts w:cs="Times New Roman"/>
      <w:sz w:val="24"/>
      <w:lang w:eastAsia="zh-CN"/>
    </w:rPr>
  </w:style>
  <w:style w:type="paragraph" w:styleId="13">
    <w:name w:val="Body Text First Indent 2"/>
    <w:basedOn w:val="6"/>
    <w:qFormat/>
    <w:uiPriority w:val="0"/>
    <w:pPr>
      <w:spacing w:after="120" w:line="240" w:lineRule="auto"/>
      <w:ind w:left="420" w:leftChars="200" w:firstLine="200" w:firstLineChars="200"/>
    </w:pPr>
    <w:rPr>
      <w:rFonts w:ascii="宋体" w:hAnsi="宋体" w:eastAsia="Times New Roman"/>
      <w:spacing w:val="2"/>
      <w:szCs w:val="24"/>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rPr>
  </w:style>
  <w:style w:type="character" w:customStyle="1" w:styleId="20">
    <w:name w:val="font21"/>
    <w:basedOn w:val="15"/>
    <w:qFormat/>
    <w:uiPriority w:val="0"/>
    <w:rPr>
      <w:rFonts w:ascii="宋体" w:hAnsi="宋体" w:eastAsia="宋体" w:cs="宋体"/>
      <w:color w:val="000000"/>
      <w:sz w:val="24"/>
      <w:szCs w:val="24"/>
      <w:u w:val="none"/>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3">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24">
    <w:name w:val="TOC 标题1"/>
    <w:basedOn w:val="2"/>
    <w:next w:val="1"/>
    <w:unhideWhenUsed/>
    <w:qFormat/>
    <w:uiPriority w:val="39"/>
    <w:pPr>
      <w:numPr>
        <w:numId w:val="0"/>
      </w:numPr>
      <w:tabs>
        <w:tab w:val="clear" w:pos="425"/>
      </w:tabs>
      <w:kinsoku/>
      <w:autoSpaceDE/>
      <w:autoSpaceDN/>
      <w:adjustRightInd/>
      <w:snapToGrid/>
      <w:spacing w:before="240" w:after="0" w:line="259" w:lineRule="auto"/>
      <w:jc w:val="left"/>
      <w:textAlignment w:val="auto"/>
      <w:outlineLvl w:val="9"/>
    </w:pPr>
    <w:rPr>
      <w:rFonts w:asciiTheme="majorHAnsi" w:hAnsiTheme="majorHAnsi" w:eastAsiaTheme="majorEastAsia" w:cstheme="majorBidi"/>
      <w:b w:val="0"/>
      <w:bCs w:val="0"/>
      <w:snapToGrid/>
      <w:color w:val="376092" w:themeColor="accent1" w:themeShade="BF"/>
      <w:kern w:val="0"/>
      <w:szCs w:val="32"/>
      <w:lang w:eastAsia="zh-CN"/>
    </w:rPr>
  </w:style>
  <w:style w:type="character" w:customStyle="1" w:styleId="25">
    <w:name w:val="页脚 字符"/>
    <w:basedOn w:val="15"/>
    <w:link w:val="8"/>
    <w:qFormat/>
    <w:uiPriority w:val="99"/>
    <w:rPr>
      <w:rFonts w:ascii="Arial" w:hAnsi="Arial" w:eastAsia="Arial" w:cs="Arial"/>
      <w:snapToGrid w:val="0"/>
      <w:color w:val="000000"/>
      <w:sz w:val="18"/>
      <w:szCs w:val="21"/>
      <w:lang w:eastAsia="en-US"/>
    </w:rPr>
  </w:style>
  <w:style w:type="paragraph" w:customStyle="1" w:styleId="26">
    <w:name w:val="修订2"/>
    <w:hidden/>
    <w:unhideWhenUsed/>
    <w:qFormat/>
    <w:uiPriority w:val="99"/>
    <w:rPr>
      <w:rFonts w:ascii="Arial" w:hAnsi="Arial" w:eastAsia="Arial" w:cs="Arial"/>
      <w:snapToGrid w:val="0"/>
      <w:color w:val="000000"/>
      <w:sz w:val="21"/>
      <w:szCs w:val="21"/>
      <w:lang w:val="en-US" w:eastAsia="en-US" w:bidi="ar-SA"/>
    </w:rPr>
  </w:style>
  <w:style w:type="character" w:customStyle="1" w:styleId="27">
    <w:name w:val="日期 字符"/>
    <w:basedOn w:val="15"/>
    <w:link w:val="7"/>
    <w:qFormat/>
    <w:uiPriority w:val="0"/>
    <w:rPr>
      <w:rFonts w:ascii="Arial" w:hAnsi="Arial" w:eastAsia="Arial" w:cs="Arial"/>
      <w:snapToGrid w:val="0"/>
      <w:color w:val="000000"/>
      <w:sz w:val="21"/>
      <w:szCs w:val="21"/>
      <w:lang w:eastAsia="en-US"/>
    </w:rPr>
  </w:style>
  <w:style w:type="paragraph" w:customStyle="1" w:styleId="28">
    <w:name w:val="Revision"/>
    <w:hidden/>
    <w:unhideWhenUsed/>
    <w:qFormat/>
    <w:uiPriority w:val="99"/>
    <w:rPr>
      <w:rFonts w:ascii="Arial" w:hAnsi="Arial" w:eastAsia="Arial" w:cs="Arial"/>
      <w:snapToGrid w:val="0"/>
      <w:color w:val="000000"/>
      <w:sz w:val="21"/>
      <w:szCs w:val="21"/>
      <w:lang w:val="en-US" w:eastAsia="en-US" w:bidi="ar-SA"/>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Version="6"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4383F-3CA1-4993-8CDE-7A86ED92C074}">
  <ds:schemaRefs/>
</ds:datastoreItem>
</file>

<file path=docProps/app.xml><?xml version="1.0" encoding="utf-8"?>
<Properties xmlns="http://schemas.openxmlformats.org/officeDocument/2006/extended-properties" xmlns:vt="http://schemas.openxmlformats.org/officeDocument/2006/docPropsVTypes">
  <Template>Normal</Template>
  <Pages>29</Pages>
  <Words>2138</Words>
  <Characters>12190</Characters>
  <Lines>1</Lines>
  <Paragraphs>1</Paragraphs>
  <TotalTime>21</TotalTime>
  <ScaleCrop>false</ScaleCrop>
  <LinksUpToDate>false</LinksUpToDate>
  <CharactersWithSpaces>14300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2024-06-06T11:52:00Z</dcterms:created>
  <dc:creator>徐 鹏</dc:creator>
  <cp:lastModifiedBy>向镇洋</cp:lastModifiedBy>
  <cp:lastPrinted>2024-08-05T01:57:00Z</cp:lastPrinted>
  <dcterms:modified xsi:type="dcterms:W3CDTF">2024-09-03T09:45:46Z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2024-06-03T15:26:04Z</vt:filetime>
  </property>
  <property fmtid="{D5CDD505-2E9C-101B-9397-08002B2CF9AE}" pid="4" name="KSOProductBuildVer">
    <vt:lpwstr>2052-12.8.2.1113</vt:lpwstr>
  </property>
  <property fmtid="{D5CDD505-2E9C-101B-9397-08002B2CF9AE}" pid="5" name="ICV">
    <vt:lpwstr>C7600BAE2E6F9675D3D0CB660649DEA7_43</vt:lpwstr>
  </property>
</Properties>
</file>