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bidi="ar"/>
        </w:rPr>
        <w:t xml:space="preserve">附件2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四川省高等学校“节水达人”评选活动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bidi="ar"/>
        </w:rPr>
        <w:t>最佳组织奖名单</w:t>
      </w:r>
    </w:p>
    <w:p>
      <w:pPr>
        <w:spacing w:line="360" w:lineRule="auto"/>
        <w:jc w:val="center"/>
        <w:rPr>
          <w:rFonts w:hint="eastAsia" w:ascii="宋体" w:hAnsi="宋体" w:cs="宋体"/>
          <w:sz w:val="22"/>
          <w:szCs w:val="2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乐山师范学院</w:t>
      </w:r>
    </w:p>
    <w:p>
      <w:pPr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成都理工大学工程技术学院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成都信息工程大学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四川音乐学院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四川水利职业技术学院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内江职业技术学院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成都职业技术学院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四川大学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四川大学锦江学院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四川交通职业技术学院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四川电子机械职业技术学院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西南民族大学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四川西南航空职业学院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西南科技大学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西华大学</w:t>
      </w:r>
    </w:p>
    <w:p>
      <w:pPr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宜宾职业技术学院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四川三河职业学院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D4817"/>
    <w:rsid w:val="0BFD3FB9"/>
    <w:rsid w:val="128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2022-05-25T08:09:00Z</dcterms:created>
  <dc:creator>大Y</dc:creator>
  <cp:lastModifiedBy>大Y</cp:lastModifiedBy>
  <dcterms:modified xsi:type="dcterms:W3CDTF">2022-05-25T08:10:14Z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