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bookmarkStart w:id="0" w:name="t_bt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川水许可决〔2021〕280 号</w:t>
      </w:r>
    </w:p>
    <w:p>
      <w:pPr>
        <w:keepNext w:val="0"/>
        <w:keepLines w:val="0"/>
        <w:pageBreakBefore w:val="0"/>
        <w:widowControl w:val="0"/>
        <w:tabs>
          <w:tab w:val="left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G85G76重庆（川渝界）至成都高速公路扩容</w:t>
      </w:r>
    </w:p>
    <w:p>
      <w:pPr>
        <w:keepNext w:val="0"/>
        <w:keepLines w:val="0"/>
        <w:pageBreakBefore w:val="0"/>
        <w:widowControl w:val="0"/>
        <w:tabs>
          <w:tab w:val="left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建设水土保持方案审批准予行政许可决定书</w:t>
      </w:r>
      <w:bookmarkEnd w:id="0"/>
    </w:p>
    <w:p>
      <w:pPr>
        <w:pStyle w:val="5"/>
        <w:spacing w:before="0" w:beforeAutospacing="0" w:line="240" w:lineRule="auto"/>
        <w:ind w:firstLine="0"/>
        <w:rPr>
          <w:rFonts w:hint="eastAsia" w:ascii="黑体" w:eastAsia="黑体"/>
          <w:b/>
        </w:rPr>
      </w:pPr>
    </w:p>
    <w:p>
      <w:pPr>
        <w:pStyle w:val="5"/>
        <w:spacing w:before="0" w:beforeAutospacing="0" w:line="240" w:lineRule="auto"/>
        <w:ind w:firstLine="0"/>
        <w:outlineLvl w:val="0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bookmarkStart w:id="1" w:name="c_zsdw"/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内江市交通运输局</w:t>
      </w:r>
      <w:bookmarkEnd w:id="1"/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：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我厅于2021年10月28日受理你单位提交的《</w:t>
      </w:r>
      <w:r>
        <w:rPr>
          <w:rFonts w:hint="eastAsia" w:ascii="仿宋" w:hAnsi="仿宋" w:eastAsia="仿宋" w:cs="仿宋"/>
          <w:sz w:val="32"/>
          <w:szCs w:val="32"/>
          <w:lang w:val="en"/>
        </w:rPr>
        <w:t>G85G76重庆（川渝界）至成都高速公路扩容建设</w:t>
      </w:r>
      <w:r>
        <w:rPr>
          <w:rFonts w:hint="eastAsia" w:ascii="仿宋" w:hAnsi="仿宋" w:eastAsia="仿宋" w:cs="仿宋"/>
          <w:sz w:val="32"/>
          <w:szCs w:val="32"/>
        </w:rPr>
        <w:t>水土保持方案审批申请》（内市交〔2021〕116号</w:t>
      </w:r>
      <w:r>
        <w:rPr>
          <w:rFonts w:hint="eastAsia" w:ascii="仿宋" w:hAnsi="仿宋" w:eastAsia="仿宋" w:cs="仿宋"/>
          <w:sz w:val="32"/>
          <w:szCs w:val="32"/>
          <w:lang w:val="e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四川一体化政务服务平台受理编号：510000-20211028-058672）。经审查，该申请符合法定条件，根据《中华人民共和国行政许可法》第三十八条第一款、《水行政许可实施办法》第三十二条第一项，决定准予行政许可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项目概况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G85G76重庆（川渝界）至成都高速公路扩容建设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位于</w:t>
      </w:r>
      <w:r>
        <w:rPr>
          <w:rFonts w:hint="eastAsia" w:ascii="仿宋" w:hAnsi="仿宋" w:eastAsia="仿宋" w:cs="仿宋"/>
          <w:sz w:val="32"/>
          <w:szCs w:val="32"/>
        </w:rPr>
        <w:t>四川省成都市龙泉驿区、简阳市，资阳市雁江区，内江市东兴区、资中县、隆昌市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本项目以利用既有的成渝高速、内江绕城高速原路扩容和其余路段新建的方式对</w:t>
      </w:r>
      <w:r>
        <w:rPr>
          <w:rFonts w:hint="eastAsia" w:ascii="仿宋" w:hAnsi="仿宋" w:eastAsia="仿宋" w:cs="仿宋"/>
          <w:sz w:val="32"/>
          <w:szCs w:val="32"/>
          <w:lang w:val="en"/>
        </w:rPr>
        <w:t>G85G76重庆（川渝界）至成都高速公路进行扩容建设</w:t>
      </w:r>
      <w:r>
        <w:rPr>
          <w:rFonts w:hint="eastAsia" w:ascii="仿宋" w:hAnsi="仿宋" w:eastAsia="仿宋" w:cs="仿宋"/>
          <w:sz w:val="32"/>
          <w:szCs w:val="32"/>
        </w:rPr>
        <w:t>，建设标准为双向四～八车道，路基宽度26.0～42.0米，设计速度100～120km/h</w:t>
      </w:r>
      <w:r>
        <w:rPr>
          <w:rFonts w:hint="eastAsia" w:ascii="仿宋" w:hAnsi="仿宋" w:eastAsia="仿宋" w:cs="仿宋"/>
          <w:sz w:val="32"/>
          <w:szCs w:val="32"/>
          <w:lang w:val="e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路线总长度为</w:t>
      </w:r>
      <w:r>
        <w:rPr>
          <w:rFonts w:hint="eastAsia" w:ascii="仿宋" w:hAnsi="仿宋" w:eastAsia="仿宋" w:cs="仿宋"/>
          <w:sz w:val="32"/>
          <w:szCs w:val="32"/>
        </w:rPr>
        <w:t>189.812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千米</w:t>
      </w:r>
      <w:r>
        <w:rPr>
          <w:rFonts w:hint="eastAsia" w:ascii="仿宋" w:hAnsi="仿宋" w:eastAsia="仿宋" w:cs="仿宋"/>
          <w:sz w:val="32"/>
          <w:szCs w:val="32"/>
        </w:rPr>
        <w:t>（其中主线</w:t>
      </w:r>
      <w:r>
        <w:rPr>
          <w:rFonts w:ascii="仿宋" w:hAnsi="仿宋" w:eastAsia="仿宋" w:cs="仿宋"/>
          <w:sz w:val="32"/>
          <w:szCs w:val="32"/>
        </w:rPr>
        <w:t>178.873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千米</w:t>
      </w:r>
      <w:r>
        <w:rPr>
          <w:rFonts w:hint="eastAsia" w:ascii="仿宋" w:hAnsi="仿宋" w:eastAsia="仿宋" w:cs="仿宋"/>
          <w:sz w:val="32"/>
          <w:szCs w:val="32"/>
        </w:rPr>
        <w:t>、G76EL线10.939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千米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。项目永久占</w:t>
      </w:r>
      <w:r>
        <w:rPr>
          <w:rFonts w:hint="eastAsia" w:ascii="仿宋" w:hAnsi="仿宋" w:eastAsia="仿宋" w:cs="仿宋"/>
          <w:sz w:val="32"/>
          <w:szCs w:val="32"/>
        </w:rPr>
        <w:t>地1779.42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公顷，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临时占地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256.13公顷，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总投资为</w:t>
      </w:r>
      <w:r>
        <w:rPr>
          <w:rFonts w:hint="eastAsia" w:ascii="仿宋" w:hAnsi="仿宋" w:eastAsia="仿宋" w:cs="仿宋"/>
          <w:sz w:val="32"/>
          <w:szCs w:val="32"/>
        </w:rPr>
        <w:t>481.14亿元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工程计划于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月开工建设，预计202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月建成通车，建设工期3</w:t>
      </w:r>
      <w:r>
        <w:rPr>
          <w:rFonts w:hint="eastAsia" w:ascii="仿宋" w:hAnsi="仿宋" w:eastAsia="仿宋" w:cs="仿宋"/>
          <w:sz w:val="32"/>
          <w:szCs w:val="32"/>
        </w:rPr>
        <w:t>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年。</w:t>
      </w:r>
    </w:p>
    <w:p>
      <w:pPr>
        <w:adjustRightIn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二、水土保持方案总体意见</w:t>
      </w:r>
    </w:p>
    <w:p>
      <w:pPr>
        <w:ind w:firstLine="640" w:firstLineChars="200"/>
        <w:rPr>
          <w:rFonts w:hint="eastAsia" w:ascii="仿宋" w:hAnsi="仿宋" w:eastAsia="仿宋" w:cs="仿宋"/>
          <w:w w:val="9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w w:val="99"/>
          <w:sz w:val="32"/>
          <w:szCs w:val="32"/>
        </w:rPr>
        <w:t>基本同意建设期水土流失防治责任范围2035.55公顷。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（二）同意水土流失防治执行西南紫色土区一级防治标准。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（三）基本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同意水土流失防治目标为：水土流失治理度97％，土壤流失控制比1.0，渣土防护率92％，表土保护率92％，林草植被恢复率97％，林草覆盖率25％。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（四）基本同意水土流失防治分区及分区防治措施安排。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（五）同意方案报告书关于水土保持补偿费的计列标准、方式和金额。本项目征占用地面积2035.55公顷，计征标准</w:t>
      </w:r>
      <w:r>
        <w:rPr>
          <w:rFonts w:hint="eastAsia" w:ascii="仿宋" w:hAnsi="仿宋" w:eastAsia="仿宋" w:cs="仿宋"/>
          <w:sz w:val="32"/>
          <w:szCs w:val="32"/>
          <w:lang w:val="en"/>
        </w:rPr>
        <w:t>1.3</w:t>
      </w:r>
      <w:r>
        <w:rPr>
          <w:rFonts w:hint="eastAsia" w:ascii="仿宋" w:hAnsi="仿宋" w:eastAsia="仿宋" w:cs="仿宋"/>
          <w:sz w:val="32"/>
          <w:szCs w:val="32"/>
        </w:rPr>
        <w:t>元/平方米，共计2646.215万元。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三、建设单位应全面落实《水土保持法》的各项要求，并重点做好以下工作:</w:t>
      </w:r>
    </w:p>
    <w:p>
      <w:pPr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 w:val="0"/>
          <w:sz w:val="32"/>
          <w:szCs w:val="32"/>
        </w:rPr>
        <w:t>一）按照批准的水土保持方案，做好水土保持初步设计、施工图设计等后续设计，加强施工组织和管理工作，切实落实水土保持“三同时”制度。</w:t>
      </w:r>
    </w:p>
    <w:p>
      <w:pPr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（二）严格按照方案要求落实水土保持各项措施。各类施工活动要严格限定在用地范围内，严禁随意占压、扰动和破坏地表植被，做好表土和弃渣的综合利用。根据方案要求合理安排施工时序和水土保持措施实施进度，做好水土保持临时防护措施，严格控制施工期间可能造成的水土流失。</w:t>
      </w:r>
    </w:p>
    <w:p>
      <w:pPr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（三）切实做好水土保持监测工作，并向我厅、省水土保持生态环境监测总站以及项目所涉及的市、县水行政主管部门提交水土保持监测季报</w:t>
      </w:r>
      <w:r>
        <w:rPr>
          <w:rFonts w:hint="eastAsia" w:ascii="仿宋" w:hAnsi="仿宋" w:eastAsia="仿宋" w:cs="仿宋"/>
          <w:bCs w:val="0"/>
          <w:sz w:val="32"/>
          <w:szCs w:val="32"/>
          <w:highlight w:val="none"/>
        </w:rPr>
        <w:t>和年报</w:t>
      </w:r>
      <w:r>
        <w:rPr>
          <w:rFonts w:hint="eastAsia" w:ascii="仿宋" w:hAnsi="仿宋" w:eastAsia="仿宋" w:cs="仿宋"/>
          <w:bCs w:val="0"/>
          <w:sz w:val="32"/>
          <w:szCs w:val="32"/>
        </w:rPr>
        <w:t>。</w:t>
      </w:r>
    </w:p>
    <w:p>
      <w:pPr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（四）落实并做好水土保持监理工作，确保工程建设质量。</w:t>
      </w:r>
    </w:p>
    <w:p>
      <w:pPr>
        <w:ind w:firstLine="6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五）建设单位应按规定在本项目开工前及时申报和缴纳水土保持补偿费。拒不缴纳的，将按照《水土保持法》第五十七条规定，自滞纳之日起按日加收滞纳部分万分之五的滞纳金，可以处应缴水土保持补偿费三倍以下的罚款。</w:t>
      </w:r>
    </w:p>
    <w:p>
      <w:pPr>
        <w:autoSpaceDE/>
        <w:autoSpaceDN/>
        <w:adjustRightInd/>
        <w:snapToGrid/>
        <w:spacing w:line="240" w:lineRule="auto"/>
        <w:ind w:firstLine="640" w:firstLineChars="200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Cs w:val="0"/>
          <w:sz w:val="32"/>
          <w:szCs w:val="32"/>
        </w:rPr>
        <w:t>、本项目建设时，若确需新增弃渣场弃渣的，可在弃渣前征得弃渣场所在地县级水行政主管部门同意后先行使用，同步做好防护措施，保证不产生水土流失危害，并及时向我厅申请办理变更审批手续。否则，将按照《水土保持法》第五十五条规定处以每立方米弃渣十元以上二十元以下的罚款。</w:t>
      </w:r>
    </w:p>
    <w:p>
      <w:pPr>
        <w:autoSpaceDE/>
        <w:autoSpaceDN/>
        <w:adjustRightInd/>
        <w:snapToGrid/>
        <w:spacing w:line="240" w:lineRule="auto"/>
        <w:ind w:firstLine="640" w:firstLineChars="200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Cs w:val="0"/>
          <w:sz w:val="32"/>
          <w:szCs w:val="32"/>
        </w:rPr>
        <w:t>、本项目的建设地点、规模如发生重大变化，应及时补充或修改水土保持方案，并报我厅审批；水土保持方案实施过程中，水土保持措施如需做出重大变更的，须报我厅批准。逾期不补办手续的，将按照《水土保持法》第五十三条第二、三款规定处以五万元以上五十万元以下的罚款。</w:t>
      </w:r>
    </w:p>
    <w:p>
      <w:pPr>
        <w:autoSpaceDE/>
        <w:autoSpaceDN/>
        <w:adjustRightInd/>
        <w:snapToGrid/>
        <w:spacing w:line="240" w:lineRule="auto"/>
        <w:ind w:firstLine="640" w:firstLineChars="200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Cs w:val="0"/>
          <w:sz w:val="32"/>
          <w:szCs w:val="32"/>
        </w:rPr>
        <w:t>、本项目投产使用前，建设单位应依据《水土保持法》第二十七条的规定及时开展水土保持设施自主验收工作，向社会公开并向我厅报备。否则，将按照《水土保持法》第五十四条相关规定，由县级以上人民政府水行政主管部门责令停止生产或者使用，直至验收合格，并处以五万元以上五十万元以下的罚款。</w:t>
      </w:r>
    </w:p>
    <w:p>
      <w:pPr>
        <w:autoSpaceDE/>
        <w:autoSpaceDN/>
        <w:adjustRightInd/>
        <w:snapToGrid/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Cs w:val="0"/>
          <w:sz w:val="32"/>
          <w:szCs w:val="32"/>
        </w:rPr>
        <w:t>、本行政许可仅用于本项目的水土流失预防和治理，项目建设涉及应由安全、生态环境、林业、自然资源等部门审批或核准的内容，建设单位须按照上述部门的工作要求分别完善相关手续。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  </w:t>
      </w:r>
      <w:bookmarkStart w:id="2" w:name="_GoBack"/>
      <w:bookmarkEnd w:id="2"/>
    </w:p>
    <w:p>
      <w:pPr>
        <w:autoSpaceDE/>
        <w:autoSpaceDN/>
        <w:adjustRightInd/>
        <w:snapToGrid/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</w:t>
      </w:r>
    </w:p>
    <w:p>
      <w:pPr>
        <w:ind w:firstLine="600" w:firstLineChars="200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  <w:lang w:val="en"/>
        </w:rPr>
        <w:t xml:space="preserve">                                         </w:t>
      </w:r>
      <w:r>
        <w:rPr>
          <w:rFonts w:hint="eastAsia" w:ascii="宋体" w:hAnsi="宋体" w:cs="宋体"/>
          <w:sz w:val="30"/>
          <w:szCs w:val="30"/>
        </w:rPr>
        <w:t>四川省水利厅</w:t>
      </w:r>
    </w:p>
    <w:p>
      <w:pPr>
        <w:jc w:val="center"/>
        <w:rPr>
          <w:rFonts w:hint="eastAsia"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  <w:lang w:val="en"/>
        </w:rPr>
        <w:t xml:space="preserve">                                         </w:t>
      </w:r>
      <w:r>
        <w:rPr>
          <w:rFonts w:hint="eastAsia" w:ascii="宋体" w:hAnsi="宋体" w:cs="宋体"/>
          <w:sz w:val="30"/>
          <w:szCs w:val="30"/>
        </w:rPr>
        <w:t>2021年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12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2211" w:right="1474" w:bottom="1871" w:left="1588" w:header="851" w:footer="992" w:gutter="0"/>
      <w:pgNumType w:fmt="numberInDash"/>
      <w:cols w:space="720" w:num="1"/>
      <w:docGrid w:type="lines" w:linePitch="6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  <w:lang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  <w:tabs>
        <w:tab w:val="left" w:pos="7695"/>
        <w:tab w:val="clear" w:pos="4153"/>
        <w:tab w:val="clear" w:pos="8306"/>
      </w:tabs>
      <w:ind w:right="360" w:firstLine="36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  <w:lang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  <w:ind w:right="360" w:firstLine="360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9F1B36"/>
    <w:multiLevelType w:val="singleLevel"/>
    <w:tmpl w:val="F79F1B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VerticalSpacing w:val="322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D70"/>
    <w:rsid w:val="000303F7"/>
    <w:rsid w:val="00036A24"/>
    <w:rsid w:val="00045F34"/>
    <w:rsid w:val="000866F4"/>
    <w:rsid w:val="000E7CC0"/>
    <w:rsid w:val="00113551"/>
    <w:rsid w:val="00165965"/>
    <w:rsid w:val="00187F3E"/>
    <w:rsid w:val="00196D49"/>
    <w:rsid w:val="001C6477"/>
    <w:rsid w:val="00207EE8"/>
    <w:rsid w:val="00233D96"/>
    <w:rsid w:val="00242EF4"/>
    <w:rsid w:val="002B16F5"/>
    <w:rsid w:val="0039109E"/>
    <w:rsid w:val="003971C1"/>
    <w:rsid w:val="003B40E1"/>
    <w:rsid w:val="003F21AD"/>
    <w:rsid w:val="00412E86"/>
    <w:rsid w:val="0051267B"/>
    <w:rsid w:val="00562FAA"/>
    <w:rsid w:val="00575EB6"/>
    <w:rsid w:val="00614FA2"/>
    <w:rsid w:val="00621B3C"/>
    <w:rsid w:val="00663D67"/>
    <w:rsid w:val="006B0A61"/>
    <w:rsid w:val="00743FCB"/>
    <w:rsid w:val="008009A2"/>
    <w:rsid w:val="00826509"/>
    <w:rsid w:val="00860372"/>
    <w:rsid w:val="008B5AE1"/>
    <w:rsid w:val="008D1A72"/>
    <w:rsid w:val="00932099"/>
    <w:rsid w:val="009539D2"/>
    <w:rsid w:val="009872C3"/>
    <w:rsid w:val="009A0716"/>
    <w:rsid w:val="009D3B8E"/>
    <w:rsid w:val="00A1679A"/>
    <w:rsid w:val="00A35880"/>
    <w:rsid w:val="00A872A0"/>
    <w:rsid w:val="00AF7A6E"/>
    <w:rsid w:val="00B3055B"/>
    <w:rsid w:val="00B546F9"/>
    <w:rsid w:val="00BB7702"/>
    <w:rsid w:val="00C07709"/>
    <w:rsid w:val="00C11D65"/>
    <w:rsid w:val="00D03939"/>
    <w:rsid w:val="00D04301"/>
    <w:rsid w:val="00D1483E"/>
    <w:rsid w:val="00D27634"/>
    <w:rsid w:val="00D42CE1"/>
    <w:rsid w:val="00D8668A"/>
    <w:rsid w:val="00DA0700"/>
    <w:rsid w:val="00DC2834"/>
    <w:rsid w:val="00DC2BC5"/>
    <w:rsid w:val="00E37532"/>
    <w:rsid w:val="00E56AA2"/>
    <w:rsid w:val="00E719E4"/>
    <w:rsid w:val="00E87F41"/>
    <w:rsid w:val="00F0737A"/>
    <w:rsid w:val="00F70C06"/>
    <w:rsid w:val="0703715E"/>
    <w:rsid w:val="07F93A53"/>
    <w:rsid w:val="08564CB9"/>
    <w:rsid w:val="0A3E4231"/>
    <w:rsid w:val="0A7174F2"/>
    <w:rsid w:val="0AD152CB"/>
    <w:rsid w:val="0DDE5497"/>
    <w:rsid w:val="1DC529E4"/>
    <w:rsid w:val="254E5CCD"/>
    <w:rsid w:val="25BC5192"/>
    <w:rsid w:val="2A291EAF"/>
    <w:rsid w:val="2A3971B2"/>
    <w:rsid w:val="2FBC468A"/>
    <w:rsid w:val="3E4C447A"/>
    <w:rsid w:val="57756217"/>
    <w:rsid w:val="5F58185E"/>
    <w:rsid w:val="67864113"/>
    <w:rsid w:val="68D62209"/>
    <w:rsid w:val="6E3F3AEF"/>
    <w:rsid w:val="6E8C3EE7"/>
    <w:rsid w:val="704D72AF"/>
    <w:rsid w:val="71A23381"/>
    <w:rsid w:val="739335FB"/>
    <w:rsid w:val="74896939"/>
    <w:rsid w:val="792515FB"/>
    <w:rsid w:val="7C712AFF"/>
    <w:rsid w:val="7D3F7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3">
    <w:name w:val="Body Text Indent"/>
    <w:basedOn w:val="1"/>
    <w:uiPriority w:val="0"/>
    <w:pPr>
      <w:tabs>
        <w:tab w:val="left" w:pos="2250"/>
      </w:tabs>
      <w:spacing w:before="100" w:beforeLines="0" w:beforeAutospacing="1" w:line="180" w:lineRule="exact"/>
      <w:ind w:firstLine="629"/>
    </w:pPr>
    <w:rPr>
      <w:b/>
      <w:color w:val="FF0000"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uiPriority w:val="0"/>
    <w:pPr>
      <w:tabs>
        <w:tab w:val="left" w:pos="2250"/>
      </w:tabs>
      <w:spacing w:before="100" w:beforeLines="0" w:beforeAutospacing="1" w:line="400" w:lineRule="exact"/>
      <w:ind w:firstLine="629"/>
    </w:pPr>
    <w:rPr>
      <w:sz w:val="32"/>
    </w:rPr>
  </w:style>
  <w:style w:type="paragraph" w:styleId="6">
    <w:name w:val="Balloon Text"/>
    <w:basedOn w:val="1"/>
    <w:uiPriority w:val="0"/>
    <w:rPr>
      <w:sz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1">
    <w:name w:val="page number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360se6\Application\13.1.1662.0\&#20844;&#25991;-&#36890;&#30693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公文-通知</Template>
  <Company>微软（中国）有限公司</Company>
  <Pages>1</Pages>
  <Words>10</Words>
  <Characters>62</Characters>
  <Lines>1</Lines>
  <Paragraphs>1</Paragraphs>
  <TotalTime>7</TotalTime>
  <ScaleCrop>false</ScaleCrop>
  <LinksUpToDate>false</LinksUpToDate>
  <CharactersWithSpaces>71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2014-10-31T01:50:00Z</dcterms:created>
  <dc:creator>lyr</dc:creator>
  <cp:lastModifiedBy>冯江（收文岗）</cp:lastModifiedBy>
  <cp:lastPrinted>2007-01-11T07:57:00Z</cp:lastPrinted>
  <dcterms:modified xsi:type="dcterms:W3CDTF">2021-12-06T07:21:11Z</dcterms:modified>
  <dc:title>山东省水利厅文件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  <property fmtid="{D5CDD505-2E9C-101B-9397-08002B2CF9AE}" pid="3" name="KSOProductBuildVer">
    <vt:lpwstr>2052-11.8.2.9022</vt:lpwstr>
  </property>
  <property fmtid="{D5CDD505-2E9C-101B-9397-08002B2CF9AE}" pid="4" name="ICV">
    <vt:lpwstr>443E39B345C64BE2A5D57A75ACB75EE5</vt:lpwstr>
  </property>
</Properties>
</file>